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53" w:rsidRPr="005A4B27" w:rsidRDefault="00396753">
      <w:pPr>
        <w:rPr>
          <w:rFonts w:ascii="Arial" w:hAnsi="Arial" w:cs="Arial"/>
          <w:b/>
          <w:sz w:val="32"/>
          <w:szCs w:val="32"/>
          <w:lang w:val="es-CO"/>
        </w:rPr>
      </w:pPr>
      <w:bookmarkStart w:id="0" w:name="_GoBack"/>
      <w:bookmarkEnd w:id="0"/>
      <w:r w:rsidRPr="005A4B27">
        <w:rPr>
          <w:rFonts w:ascii="Arial" w:hAnsi="Arial" w:cs="Arial"/>
          <w:b/>
          <w:sz w:val="32"/>
          <w:szCs w:val="32"/>
          <w:lang w:val="es-CO"/>
        </w:rPr>
        <w:t>¿QUÉ TAL QUE YA EXISTIERA LA CURA PARA LA ENFERMEDAD DE ALZHEIMER Y NADIE LO SUPIERA?</w:t>
      </w:r>
    </w:p>
    <w:p w:rsidR="00396753" w:rsidRPr="005A4B27" w:rsidRDefault="009A1507" w:rsidP="00396753">
      <w:pPr>
        <w:pBdr>
          <w:top w:val="single" w:sz="4" w:space="1" w:color="auto"/>
          <w:bottom w:val="single" w:sz="4" w:space="1" w:color="auto"/>
        </w:pBdr>
        <w:rPr>
          <w:i/>
          <w:lang w:val="es-CO"/>
        </w:rPr>
      </w:pPr>
      <w:r w:rsidRPr="005A4B27">
        <w:rPr>
          <w:i/>
          <w:lang w:val="es-CO"/>
        </w:rPr>
        <w:t xml:space="preserve">Un Caso reportado por la </w:t>
      </w:r>
      <w:r w:rsidR="00396753" w:rsidRPr="005A4B27">
        <w:rPr>
          <w:i/>
          <w:lang w:val="es-CO"/>
        </w:rPr>
        <w:t xml:space="preserve"> Dra. Mary Newport</w:t>
      </w:r>
      <w:r w:rsidR="00396753" w:rsidRPr="005A4B27">
        <w:rPr>
          <w:i/>
          <w:lang w:val="es-CO"/>
        </w:rPr>
        <w:tab/>
      </w:r>
      <w:r w:rsidR="00396753" w:rsidRPr="005A4B27">
        <w:rPr>
          <w:i/>
          <w:lang w:val="es-CO"/>
        </w:rPr>
        <w:tab/>
        <w:t>22 de julio de 2008</w:t>
      </w:r>
    </w:p>
    <w:p w:rsidR="00396753" w:rsidRPr="005A4B27" w:rsidRDefault="00396753" w:rsidP="00396753">
      <w:pPr>
        <w:rPr>
          <w:lang w:val="es-CO"/>
        </w:rPr>
      </w:pPr>
    </w:p>
    <w:p w:rsidR="00396753" w:rsidRPr="005A4B27" w:rsidRDefault="00C85F21" w:rsidP="00396753">
      <w:pPr>
        <w:jc w:val="both"/>
        <w:rPr>
          <w:lang w:val="es-CO"/>
        </w:rPr>
      </w:pPr>
      <w:r w:rsidRPr="005A4B27">
        <w:rPr>
          <w:lang w:val="es-CO"/>
        </w:rPr>
        <w:t xml:space="preserve">Hay </w:t>
      </w:r>
      <w:r w:rsidR="00396753" w:rsidRPr="005A4B27">
        <w:rPr>
          <w:lang w:val="es-CO"/>
        </w:rPr>
        <w:t xml:space="preserve">una </w:t>
      </w:r>
      <w:r w:rsidR="009A1507" w:rsidRPr="00890DD5">
        <w:rPr>
          <w:lang w:val="es-CO"/>
        </w:rPr>
        <w:t>epidemia creciente</w:t>
      </w:r>
      <w:r w:rsidR="00396753" w:rsidRPr="005A4B27">
        <w:rPr>
          <w:lang w:val="es-CO"/>
        </w:rPr>
        <w:t xml:space="preserve"> de obesidad, </w:t>
      </w:r>
      <w:r w:rsidR="00540B5E" w:rsidRPr="005A4B27">
        <w:rPr>
          <w:lang w:val="es-CO"/>
        </w:rPr>
        <w:t xml:space="preserve">de </w:t>
      </w:r>
      <w:r w:rsidR="00396753" w:rsidRPr="005A4B27">
        <w:rPr>
          <w:lang w:val="es-CO"/>
        </w:rPr>
        <w:t xml:space="preserve">diabetes tipo II, </w:t>
      </w:r>
      <w:r w:rsidR="00540B5E" w:rsidRPr="005A4B27">
        <w:rPr>
          <w:lang w:val="es-CO"/>
        </w:rPr>
        <w:t xml:space="preserve">de </w:t>
      </w:r>
      <w:r w:rsidR="00396753" w:rsidRPr="005A4B27">
        <w:rPr>
          <w:lang w:val="es-CO"/>
        </w:rPr>
        <w:t>enfermedad cardiovascular</w:t>
      </w:r>
      <w:r w:rsidRPr="005A4B27">
        <w:rPr>
          <w:lang w:val="es-CO"/>
        </w:rPr>
        <w:t xml:space="preserve"> </w:t>
      </w:r>
      <w:r w:rsidR="00396753" w:rsidRPr="005A4B27">
        <w:rPr>
          <w:lang w:val="es-CO"/>
        </w:rPr>
        <w:t xml:space="preserve">y </w:t>
      </w:r>
      <w:r w:rsidR="00DE53D8" w:rsidRPr="00890DD5">
        <w:rPr>
          <w:lang w:val="es-CO"/>
        </w:rPr>
        <w:t>pronósticos de que</w:t>
      </w:r>
      <w:r w:rsidR="00DE53D8">
        <w:rPr>
          <w:lang w:val="es-CO"/>
        </w:rPr>
        <w:t xml:space="preserve"> </w:t>
      </w:r>
      <w:r w:rsidR="00396753" w:rsidRPr="005A4B27">
        <w:rPr>
          <w:lang w:val="es-CO"/>
        </w:rPr>
        <w:t xml:space="preserve">para el año 2050, </w:t>
      </w:r>
      <w:r w:rsidR="009A1507" w:rsidRPr="00890DD5">
        <w:rPr>
          <w:lang w:val="es-CO"/>
        </w:rPr>
        <w:t>solamente</w:t>
      </w:r>
      <w:r w:rsidR="00396753" w:rsidRPr="005A4B27">
        <w:rPr>
          <w:lang w:val="es-CO"/>
        </w:rPr>
        <w:t xml:space="preserve"> en los Estados Unidos </w:t>
      </w:r>
      <w:r w:rsidR="0038125A">
        <w:rPr>
          <w:lang w:val="es-CO"/>
        </w:rPr>
        <w:t xml:space="preserve">habrá </w:t>
      </w:r>
      <w:r w:rsidR="00396753" w:rsidRPr="005A4B27">
        <w:rPr>
          <w:lang w:val="es-CO"/>
        </w:rPr>
        <w:t>15.000.000 de persona</w:t>
      </w:r>
      <w:r w:rsidR="004E16BD" w:rsidRPr="005A4B27">
        <w:rPr>
          <w:lang w:val="es-CO"/>
        </w:rPr>
        <w:t xml:space="preserve">s </w:t>
      </w:r>
      <w:r w:rsidR="009A1507" w:rsidRPr="005A4B27">
        <w:rPr>
          <w:lang w:val="es-CO"/>
        </w:rPr>
        <w:t>con</w:t>
      </w:r>
      <w:r w:rsidR="004E16BD" w:rsidRPr="005A4B27">
        <w:rPr>
          <w:lang w:val="es-CO"/>
        </w:rPr>
        <w:t xml:space="preserve"> la enfermedad de Al</w:t>
      </w:r>
      <w:r w:rsidR="00396753" w:rsidRPr="005A4B27">
        <w:rPr>
          <w:lang w:val="es-CO"/>
        </w:rPr>
        <w:t>zheimer.</w:t>
      </w:r>
    </w:p>
    <w:p w:rsidR="00396753" w:rsidRPr="005A4B27" w:rsidRDefault="00396753" w:rsidP="00396753">
      <w:pPr>
        <w:jc w:val="both"/>
        <w:rPr>
          <w:lang w:val="es-CO"/>
        </w:rPr>
      </w:pPr>
      <w:r w:rsidRPr="005A4B27">
        <w:rPr>
          <w:lang w:val="es-CO"/>
        </w:rPr>
        <w:tab/>
        <w:t xml:space="preserve">En 2001, el </w:t>
      </w:r>
      <w:r w:rsidR="00C85F21" w:rsidRPr="005A4B27">
        <w:rPr>
          <w:lang w:val="es-CO"/>
        </w:rPr>
        <w:t xml:space="preserve">Dr. Richard L. Veech y </w:t>
      </w:r>
      <w:r w:rsidR="00890DD5">
        <w:rPr>
          <w:lang w:val="es-CO"/>
        </w:rPr>
        <w:t xml:space="preserve">colaboradores, </w:t>
      </w:r>
      <w:r w:rsidR="009A1507" w:rsidRPr="005A4B27">
        <w:rPr>
          <w:lang w:val="es-CO"/>
        </w:rPr>
        <w:t>del “</w:t>
      </w:r>
      <w:r w:rsidRPr="005A4B27">
        <w:rPr>
          <w:i/>
          <w:lang w:val="es-CO"/>
        </w:rPr>
        <w:t xml:space="preserve">National </w:t>
      </w:r>
      <w:r w:rsidR="00DD0597" w:rsidRPr="005A4B27">
        <w:rPr>
          <w:i/>
          <w:lang w:val="es-CO"/>
        </w:rPr>
        <w:t xml:space="preserve">Institutes of </w:t>
      </w:r>
      <w:r w:rsidRPr="005A4B27">
        <w:rPr>
          <w:i/>
          <w:lang w:val="es-CO"/>
        </w:rPr>
        <w:t>Health</w:t>
      </w:r>
      <w:r w:rsidR="009A1507" w:rsidRPr="005A4B27">
        <w:rPr>
          <w:i/>
          <w:lang w:val="es-CO"/>
        </w:rPr>
        <w:t>” (NIH)</w:t>
      </w:r>
      <w:r w:rsidRPr="005A4B27">
        <w:rPr>
          <w:lang w:val="es-CO"/>
        </w:rPr>
        <w:t>,</w:t>
      </w:r>
      <w:r w:rsidR="00E74DDA" w:rsidRPr="005A4B27">
        <w:rPr>
          <w:lang w:val="es-CO"/>
        </w:rPr>
        <w:t xml:space="preserve"> publicaron un artículo titulado </w:t>
      </w:r>
      <w:r w:rsidR="00E74DDA" w:rsidRPr="005A4B27">
        <w:rPr>
          <w:i/>
          <w:lang w:val="es-CO"/>
        </w:rPr>
        <w:t>“Ketone bodies, potential therapeutic uses”.</w:t>
      </w:r>
      <w:r w:rsidR="00E74DDA" w:rsidRPr="005A4B27">
        <w:rPr>
          <w:vertAlign w:val="superscript"/>
          <w:lang w:val="es-CO"/>
        </w:rPr>
        <w:t>1</w:t>
      </w:r>
      <w:r w:rsidR="00E74DDA" w:rsidRPr="005A4B27">
        <w:rPr>
          <w:i/>
          <w:lang w:val="es-CO"/>
        </w:rPr>
        <w:t xml:space="preserve"> </w:t>
      </w:r>
      <w:r w:rsidR="00E74DDA" w:rsidRPr="005A4B27">
        <w:rPr>
          <w:lang w:val="es-CO"/>
        </w:rPr>
        <w:t>(“</w:t>
      </w:r>
      <w:r w:rsidR="009A1507" w:rsidRPr="005A4B27">
        <w:rPr>
          <w:lang w:val="es-CO"/>
        </w:rPr>
        <w:t>Potenciales usos terapéuticos de los Cuerpos Ketonicos</w:t>
      </w:r>
      <w:r w:rsidR="00E74DDA" w:rsidRPr="005A4B27">
        <w:rPr>
          <w:lang w:val="es-CO"/>
        </w:rPr>
        <w:t xml:space="preserve">”). En 2003, George F. Cahill, Jr. y Richard Veech escribieron </w:t>
      </w:r>
      <w:r w:rsidR="00E74DDA" w:rsidRPr="005A4B27">
        <w:rPr>
          <w:i/>
          <w:lang w:val="es-CO"/>
        </w:rPr>
        <w:t>“</w:t>
      </w:r>
      <w:r w:rsidR="00DD0597" w:rsidRPr="005A4B27">
        <w:rPr>
          <w:i/>
          <w:lang w:val="es-CO"/>
        </w:rPr>
        <w:t>K</w:t>
      </w:r>
      <w:r w:rsidR="00E74DDA" w:rsidRPr="005A4B27">
        <w:rPr>
          <w:i/>
          <w:lang w:val="es-CO"/>
        </w:rPr>
        <w:t>etoacids? Good Medicine?”</w:t>
      </w:r>
      <w:r w:rsidR="00E74DDA" w:rsidRPr="005A4B27">
        <w:rPr>
          <w:vertAlign w:val="superscript"/>
          <w:lang w:val="es-CO"/>
        </w:rPr>
        <w:t>2</w:t>
      </w:r>
      <w:r w:rsidR="00E74DDA" w:rsidRPr="005A4B27">
        <w:rPr>
          <w:lang w:val="es-CO"/>
        </w:rPr>
        <w:t xml:space="preserve"> </w:t>
      </w:r>
      <w:r w:rsidR="00DD0597" w:rsidRPr="005A4B27">
        <w:rPr>
          <w:lang w:val="es-CO"/>
        </w:rPr>
        <w:t>(</w:t>
      </w:r>
      <w:r w:rsidR="00E74DDA" w:rsidRPr="005A4B27">
        <w:rPr>
          <w:lang w:val="es-CO"/>
        </w:rPr>
        <w:t>“¿</w:t>
      </w:r>
      <w:r w:rsidR="00DD0597" w:rsidRPr="005A4B27">
        <w:rPr>
          <w:lang w:val="es-CO"/>
        </w:rPr>
        <w:t>C</w:t>
      </w:r>
      <w:r w:rsidR="00E74DDA" w:rsidRPr="005A4B27">
        <w:rPr>
          <w:lang w:val="es-CO"/>
        </w:rPr>
        <w:t>etoácidos? ¿</w:t>
      </w:r>
      <w:r w:rsidR="008B6EF7" w:rsidRPr="00890DD5">
        <w:rPr>
          <w:lang w:val="es-CO"/>
        </w:rPr>
        <w:t>Buena medicina</w:t>
      </w:r>
      <w:r w:rsidR="00E74DDA" w:rsidRPr="005A4B27">
        <w:rPr>
          <w:lang w:val="es-CO"/>
        </w:rPr>
        <w:t xml:space="preserve">?”), y en 2004, Richard Veech publicó una reseña de las implicaciones terapéuticas de </w:t>
      </w:r>
      <w:r w:rsidR="008B6EF7" w:rsidRPr="005A4B27">
        <w:rPr>
          <w:lang w:val="es-CO"/>
        </w:rPr>
        <w:t xml:space="preserve">cuerpos </w:t>
      </w:r>
      <w:r w:rsidR="00890DD5" w:rsidRPr="00890DD5">
        <w:rPr>
          <w:lang w:val="es-CO"/>
        </w:rPr>
        <w:t>cetónicos</w:t>
      </w:r>
      <w:r w:rsidR="00DD0597" w:rsidRPr="005A4B27">
        <w:rPr>
          <w:lang w:val="es-CO"/>
        </w:rPr>
        <w:t>.</w:t>
      </w:r>
      <w:r w:rsidR="00DD0597" w:rsidRPr="005A4B27">
        <w:rPr>
          <w:vertAlign w:val="superscript"/>
          <w:lang w:val="es-CO"/>
        </w:rPr>
        <w:t>3</w:t>
      </w:r>
      <w:r w:rsidR="00DD0597" w:rsidRPr="005A4B27">
        <w:rPr>
          <w:lang w:val="es-CO"/>
        </w:rPr>
        <w:t xml:space="preserve"> </w:t>
      </w:r>
      <w:r w:rsidR="00DD0597" w:rsidRPr="00890DD5">
        <w:rPr>
          <w:lang w:val="es-CO"/>
        </w:rPr>
        <w:t>Estos a</w:t>
      </w:r>
      <w:r w:rsidR="008B6EF7" w:rsidRPr="00890DD5">
        <w:rPr>
          <w:lang w:val="es-CO"/>
        </w:rPr>
        <w:t>rtículos no se encuentran en la literatura m</w:t>
      </w:r>
      <w:r w:rsidR="0038125A" w:rsidRPr="00890DD5">
        <w:rPr>
          <w:lang w:val="es-CO"/>
        </w:rPr>
        <w:t>é</w:t>
      </w:r>
      <w:r w:rsidR="008B6EF7" w:rsidRPr="00890DD5">
        <w:rPr>
          <w:lang w:val="es-CO"/>
        </w:rPr>
        <w:t>dica m</w:t>
      </w:r>
      <w:r w:rsidR="0038125A" w:rsidRPr="00890DD5">
        <w:rPr>
          <w:lang w:val="es-CO"/>
        </w:rPr>
        <w:t>á</w:t>
      </w:r>
      <w:r w:rsidR="008B6EF7" w:rsidRPr="00890DD5">
        <w:rPr>
          <w:lang w:val="es-CO"/>
        </w:rPr>
        <w:t xml:space="preserve">s popular y </w:t>
      </w:r>
      <w:r w:rsidR="0038125A" w:rsidRPr="00890DD5">
        <w:rPr>
          <w:lang w:val="es-CO"/>
        </w:rPr>
        <w:t xml:space="preserve">menos </w:t>
      </w:r>
      <w:r w:rsidR="008B6EF7" w:rsidRPr="00890DD5">
        <w:rPr>
          <w:lang w:val="es-CO"/>
        </w:rPr>
        <w:t>a</w:t>
      </w:r>
      <w:r w:rsidR="0038125A" w:rsidRPr="00890DD5">
        <w:rPr>
          <w:lang w:val="es-CO"/>
        </w:rPr>
        <w:t>ú</w:t>
      </w:r>
      <w:r w:rsidR="008B6EF7" w:rsidRPr="00890DD5">
        <w:rPr>
          <w:lang w:val="es-CO"/>
        </w:rPr>
        <w:t>n</w:t>
      </w:r>
      <w:r w:rsidR="0038125A" w:rsidRPr="00890DD5">
        <w:rPr>
          <w:lang w:val="es-CO"/>
        </w:rPr>
        <w:t xml:space="preserve"> en</w:t>
      </w:r>
      <w:r w:rsidR="008B6EF7" w:rsidRPr="00890DD5">
        <w:rPr>
          <w:lang w:val="es-CO"/>
        </w:rPr>
        <w:t xml:space="preserve"> la </w:t>
      </w:r>
      <w:r w:rsidR="0038125A" w:rsidRPr="00890DD5">
        <w:rPr>
          <w:lang w:val="es-CO"/>
        </w:rPr>
        <w:t>que lee</w:t>
      </w:r>
      <w:r w:rsidR="008B6EF7" w:rsidRPr="00890DD5">
        <w:rPr>
          <w:lang w:val="es-CO"/>
        </w:rPr>
        <w:t xml:space="preserve"> el p</w:t>
      </w:r>
      <w:r w:rsidR="0038125A" w:rsidRPr="00890DD5">
        <w:rPr>
          <w:lang w:val="es-CO"/>
        </w:rPr>
        <w:t>ú</w:t>
      </w:r>
      <w:r w:rsidR="008B6EF7" w:rsidRPr="00890DD5">
        <w:rPr>
          <w:lang w:val="es-CO"/>
        </w:rPr>
        <w:t>blico</w:t>
      </w:r>
      <w:r w:rsidR="0038125A" w:rsidRPr="00890DD5">
        <w:rPr>
          <w:lang w:val="es-CO"/>
        </w:rPr>
        <w:t xml:space="preserve"> en </w:t>
      </w:r>
      <w:r w:rsidR="008B6EF7" w:rsidRPr="00890DD5">
        <w:rPr>
          <w:lang w:val="es-CO"/>
        </w:rPr>
        <w:t>general</w:t>
      </w:r>
      <w:r w:rsidR="00DD0597" w:rsidRPr="00890DD5">
        <w:rPr>
          <w:lang w:val="es-CO"/>
        </w:rPr>
        <w:t xml:space="preserve">. A menos que </w:t>
      </w:r>
      <w:r w:rsidR="004E16BD" w:rsidRPr="00890DD5">
        <w:rPr>
          <w:lang w:val="es-CO"/>
        </w:rPr>
        <w:t xml:space="preserve">se </w:t>
      </w:r>
      <w:r w:rsidR="00DD0597" w:rsidRPr="00890DD5">
        <w:rPr>
          <w:lang w:val="es-CO"/>
        </w:rPr>
        <w:t xml:space="preserve">esté investigando </w:t>
      </w:r>
      <w:r w:rsidR="008B6EF7" w:rsidRPr="00890DD5">
        <w:rPr>
          <w:lang w:val="es-CO"/>
        </w:rPr>
        <w:t xml:space="preserve">este tema específicamente es muy improbable </w:t>
      </w:r>
      <w:r w:rsidR="00A03C92" w:rsidRPr="00890DD5">
        <w:rPr>
          <w:lang w:val="es-CO"/>
        </w:rPr>
        <w:t>encontrar</w:t>
      </w:r>
      <w:r w:rsidR="008B6EF7" w:rsidRPr="00890DD5">
        <w:rPr>
          <w:lang w:val="es-CO"/>
        </w:rPr>
        <w:t xml:space="preserve"> estas referencias</w:t>
      </w:r>
      <w:r w:rsidR="00DD0597" w:rsidRPr="00890DD5">
        <w:rPr>
          <w:lang w:val="es-CO"/>
        </w:rPr>
        <w:t>.</w:t>
      </w:r>
    </w:p>
    <w:p w:rsidR="00DD0597" w:rsidRPr="005A4B27" w:rsidRDefault="00DD0597" w:rsidP="00396753">
      <w:pPr>
        <w:jc w:val="both"/>
        <w:rPr>
          <w:lang w:val="es-CO"/>
        </w:rPr>
      </w:pPr>
      <w:r w:rsidRPr="005A4B27">
        <w:rPr>
          <w:lang w:val="es-CO"/>
        </w:rPr>
        <w:tab/>
        <w:t>Mi esposo Steven, de 58 años de edad, ha padecido demencia progresiva por lo menos durante cinco años. En mayo de 2008 se l</w:t>
      </w:r>
      <w:r w:rsidR="00B864A6" w:rsidRPr="005A4B27">
        <w:rPr>
          <w:lang w:val="es-CO"/>
        </w:rPr>
        <w:t>e</w:t>
      </w:r>
      <w:r w:rsidRPr="005A4B27">
        <w:rPr>
          <w:lang w:val="es-CO"/>
        </w:rPr>
        <w:t xml:space="preserve"> </w:t>
      </w:r>
      <w:r w:rsidR="00B864A6" w:rsidRPr="005A4B27">
        <w:rPr>
          <w:lang w:val="es-CO"/>
        </w:rPr>
        <w:t>practicó</w:t>
      </w:r>
      <w:r w:rsidRPr="005A4B27">
        <w:rPr>
          <w:lang w:val="es-CO"/>
        </w:rPr>
        <w:t xml:space="preserve"> un MRI (</w:t>
      </w:r>
      <w:r w:rsidR="00C85F21" w:rsidRPr="005A4B27">
        <w:rPr>
          <w:lang w:val="es-CO"/>
        </w:rPr>
        <w:t>i</w:t>
      </w:r>
      <w:r w:rsidRPr="005A4B27">
        <w:rPr>
          <w:lang w:val="es-CO"/>
        </w:rPr>
        <w:t>magen de resonancia magnética)</w:t>
      </w:r>
      <w:r w:rsidR="00B864A6" w:rsidRPr="005A4B27">
        <w:rPr>
          <w:lang w:val="es-CO"/>
        </w:rPr>
        <w:t xml:space="preserve"> que mostró un difuso cambio i</w:t>
      </w:r>
      <w:r w:rsidR="004E16BD" w:rsidRPr="005A4B27">
        <w:rPr>
          <w:lang w:val="es-CO"/>
        </w:rPr>
        <w:t>nvolutivo de los lóbulo</w:t>
      </w:r>
      <w:r w:rsidR="00B864A6" w:rsidRPr="005A4B27">
        <w:rPr>
          <w:lang w:val="es-CO"/>
        </w:rPr>
        <w:t>s frontal y parietal, así como</w:t>
      </w:r>
      <w:r w:rsidR="008B6EF7" w:rsidRPr="005A4B27">
        <w:rPr>
          <w:lang w:val="es-CO"/>
        </w:rPr>
        <w:t xml:space="preserve"> una</w:t>
      </w:r>
      <w:r w:rsidR="00B864A6" w:rsidRPr="005A4B27">
        <w:rPr>
          <w:lang w:val="es-CO"/>
        </w:rPr>
        <w:t xml:space="preserve"> </w:t>
      </w:r>
      <w:r w:rsidR="00E74557" w:rsidRPr="005A4B27">
        <w:rPr>
          <w:lang w:val="es-CO"/>
        </w:rPr>
        <w:t>atrofia</w:t>
      </w:r>
      <w:r w:rsidR="00B864A6" w:rsidRPr="005A4B27">
        <w:rPr>
          <w:lang w:val="es-CO"/>
        </w:rPr>
        <w:t xml:space="preserve"> moderada </w:t>
      </w:r>
      <w:r w:rsidR="008B6EF7" w:rsidRPr="005A4B27">
        <w:rPr>
          <w:lang w:val="es-CO"/>
        </w:rPr>
        <w:t>de</w:t>
      </w:r>
      <w:r w:rsidR="00B864A6" w:rsidRPr="005A4B27">
        <w:rPr>
          <w:lang w:val="es-CO"/>
        </w:rPr>
        <w:t xml:space="preserve"> la amígdala izquierda, </w:t>
      </w:r>
      <w:r w:rsidR="008B6EF7" w:rsidRPr="005A4B27">
        <w:rPr>
          <w:lang w:val="es-CO"/>
        </w:rPr>
        <w:t xml:space="preserve"> una atrofia </w:t>
      </w:r>
      <w:r w:rsidR="00B864A6" w:rsidRPr="005A4B27">
        <w:rPr>
          <w:lang w:val="es-CO"/>
        </w:rPr>
        <w:t xml:space="preserve">severa en la </w:t>
      </w:r>
      <w:r w:rsidR="008B6EF7" w:rsidRPr="005A4B27">
        <w:rPr>
          <w:lang w:val="es-CO"/>
        </w:rPr>
        <w:t xml:space="preserve">amígdala </w:t>
      </w:r>
      <w:r w:rsidR="00B864A6" w:rsidRPr="005A4B27">
        <w:rPr>
          <w:lang w:val="es-CO"/>
        </w:rPr>
        <w:t xml:space="preserve">derecha y </w:t>
      </w:r>
      <w:r w:rsidR="00E74557" w:rsidRPr="005A4B27">
        <w:rPr>
          <w:lang w:val="es-CO"/>
        </w:rPr>
        <w:t>atrofia</w:t>
      </w:r>
      <w:r w:rsidR="004E16BD" w:rsidRPr="005A4B27">
        <w:rPr>
          <w:lang w:val="es-CO"/>
        </w:rPr>
        <w:t xml:space="preserve"> </w:t>
      </w:r>
      <w:r w:rsidR="00B864A6" w:rsidRPr="005A4B27">
        <w:rPr>
          <w:lang w:val="es-CO"/>
        </w:rPr>
        <w:t>del hipocampo sin cambio</w:t>
      </w:r>
      <w:r w:rsidR="008B6EF7" w:rsidRPr="005A4B27">
        <w:rPr>
          <w:lang w:val="es-CO"/>
        </w:rPr>
        <w:t>s</w:t>
      </w:r>
      <w:r w:rsidR="00B864A6" w:rsidRPr="005A4B27">
        <w:rPr>
          <w:lang w:val="es-CO"/>
        </w:rPr>
        <w:t xml:space="preserve"> isquémico</w:t>
      </w:r>
      <w:r w:rsidR="008B6EF7" w:rsidRPr="005A4B27">
        <w:rPr>
          <w:lang w:val="es-CO"/>
        </w:rPr>
        <w:t>s</w:t>
      </w:r>
      <w:r w:rsidR="00B864A6" w:rsidRPr="005A4B27">
        <w:rPr>
          <w:lang w:val="es-CO"/>
        </w:rPr>
        <w:t xml:space="preserve">, lo que confirmaría </w:t>
      </w:r>
      <w:r w:rsidR="008B6EF7" w:rsidRPr="005A4B27">
        <w:rPr>
          <w:lang w:val="es-CO"/>
        </w:rPr>
        <w:t>el</w:t>
      </w:r>
      <w:r w:rsidR="00B864A6" w:rsidRPr="005A4B27">
        <w:rPr>
          <w:lang w:val="es-CO"/>
        </w:rPr>
        <w:t xml:space="preserve"> diagnóstico de la enfermedad de Alzheimer. Para las personas no versadas en medicina, esto significa que hay </w:t>
      </w:r>
      <w:r w:rsidR="00C85F21" w:rsidRPr="005A4B27">
        <w:rPr>
          <w:lang w:val="es-CO"/>
        </w:rPr>
        <w:t>zon</w:t>
      </w:r>
      <w:r w:rsidR="00B864A6" w:rsidRPr="005A4B27">
        <w:rPr>
          <w:lang w:val="es-CO"/>
        </w:rPr>
        <w:t>as de su cerebro que se han reducido. Much</w:t>
      </w:r>
      <w:r w:rsidR="00C85F21" w:rsidRPr="005A4B27">
        <w:rPr>
          <w:lang w:val="es-CO"/>
        </w:rPr>
        <w:t>as veces</w:t>
      </w:r>
      <w:r w:rsidR="00B864A6" w:rsidRPr="005A4B27">
        <w:rPr>
          <w:lang w:val="es-CO"/>
        </w:rPr>
        <w:t xml:space="preserve">, </w:t>
      </w:r>
      <w:r w:rsidR="00D44540" w:rsidRPr="005A4B27">
        <w:rPr>
          <w:lang w:val="es-CO"/>
        </w:rPr>
        <w:t xml:space="preserve">y </w:t>
      </w:r>
      <w:r w:rsidR="00B864A6" w:rsidRPr="005A4B27">
        <w:rPr>
          <w:lang w:val="es-CO"/>
        </w:rPr>
        <w:t xml:space="preserve">a menudo </w:t>
      </w:r>
      <w:r w:rsidR="00C85F21" w:rsidRPr="005A4B27">
        <w:rPr>
          <w:lang w:val="es-CO"/>
        </w:rPr>
        <w:t xml:space="preserve">durante </w:t>
      </w:r>
      <w:r w:rsidR="00B864A6" w:rsidRPr="005A4B27">
        <w:rPr>
          <w:lang w:val="es-CO"/>
        </w:rPr>
        <w:t xml:space="preserve">varios días seguidos, </w:t>
      </w:r>
      <w:r w:rsidR="00D44540" w:rsidRPr="005A4B27">
        <w:rPr>
          <w:lang w:val="es-CO"/>
        </w:rPr>
        <w:t xml:space="preserve">el </w:t>
      </w:r>
      <w:r w:rsidR="0038125A" w:rsidRPr="00890DD5">
        <w:rPr>
          <w:lang w:val="es-CO"/>
        </w:rPr>
        <w:t>parecía estar en las nebulosas</w:t>
      </w:r>
      <w:r w:rsidR="00D44540" w:rsidRPr="00890DD5">
        <w:rPr>
          <w:lang w:val="es-CO"/>
        </w:rPr>
        <w:t xml:space="preserve">, </w:t>
      </w:r>
      <w:r w:rsidR="0038125A" w:rsidRPr="00890DD5">
        <w:rPr>
          <w:lang w:val="es-CO"/>
        </w:rPr>
        <w:t>era</w:t>
      </w:r>
      <w:r w:rsidR="0038125A">
        <w:rPr>
          <w:lang w:val="es-CO"/>
        </w:rPr>
        <w:t xml:space="preserve"> </w:t>
      </w:r>
      <w:r w:rsidR="00D44540" w:rsidRPr="005A4B27">
        <w:rPr>
          <w:lang w:val="es-CO"/>
        </w:rPr>
        <w:t>incapaz de de encontrar una cuchara o de obtener agua de la refrigeradora</w:t>
      </w:r>
      <w:r w:rsidR="00D45147" w:rsidRPr="005A4B27">
        <w:rPr>
          <w:lang w:val="es-CO"/>
        </w:rPr>
        <w:t>. Algunos días no eran tan malos; casi parecía ser el mismo de antes, contento, con su sen</w:t>
      </w:r>
      <w:r w:rsidR="00BF10EA" w:rsidRPr="005A4B27">
        <w:rPr>
          <w:lang w:val="es-CO"/>
        </w:rPr>
        <w:t>tido del humor intacto, creativo</w:t>
      </w:r>
      <w:r w:rsidR="00B80E7B" w:rsidRPr="005A4B27">
        <w:rPr>
          <w:lang w:val="es-CO"/>
        </w:rPr>
        <w:t xml:space="preserve">, lleno de ideas. </w:t>
      </w:r>
      <w:r w:rsidR="00D44540" w:rsidRPr="00890DD5">
        <w:rPr>
          <w:lang w:val="es-CO"/>
        </w:rPr>
        <w:t>Un d</w:t>
      </w:r>
      <w:r w:rsidR="00DE53D8" w:rsidRPr="00890DD5">
        <w:rPr>
          <w:lang w:val="es-CO"/>
        </w:rPr>
        <w:t>í</w:t>
      </w:r>
      <w:r w:rsidR="00D44540" w:rsidRPr="00890DD5">
        <w:rPr>
          <w:lang w:val="es-CO"/>
        </w:rPr>
        <w:t>a le pregunt</w:t>
      </w:r>
      <w:r w:rsidR="00DE53D8" w:rsidRPr="00890DD5">
        <w:rPr>
          <w:lang w:val="es-CO"/>
        </w:rPr>
        <w:t>é</w:t>
      </w:r>
      <w:r w:rsidR="00D44540" w:rsidRPr="00890DD5">
        <w:rPr>
          <w:lang w:val="es-CO"/>
        </w:rPr>
        <w:t xml:space="preserve"> se había contestado una llamada telefónica que estaba esperando, me respondi</w:t>
      </w:r>
      <w:r w:rsidR="00DE53D8" w:rsidRPr="00890DD5">
        <w:rPr>
          <w:lang w:val="es-CO"/>
        </w:rPr>
        <w:t>ó</w:t>
      </w:r>
      <w:r w:rsidR="00D44540" w:rsidRPr="00890DD5">
        <w:rPr>
          <w:lang w:val="es-CO"/>
        </w:rPr>
        <w:t xml:space="preserve"> que “No”.</w:t>
      </w:r>
      <w:r w:rsidR="00B80E7B" w:rsidRPr="00890DD5">
        <w:rPr>
          <w:lang w:val="es-CO"/>
        </w:rPr>
        <w:t xml:space="preserve"> </w:t>
      </w:r>
      <w:r w:rsidR="00D44540" w:rsidRPr="00890DD5">
        <w:rPr>
          <w:lang w:val="es-CO"/>
        </w:rPr>
        <w:t xml:space="preserve">Pero dos días más tarde recordó la llamada telefónica, el mesaje que le dieron y el dia que </w:t>
      </w:r>
      <w:r w:rsidR="00DE53D8" w:rsidRPr="00890DD5">
        <w:rPr>
          <w:lang w:val="es-CO"/>
        </w:rPr>
        <w:t>lo recibió</w:t>
      </w:r>
      <w:r w:rsidR="00D45147" w:rsidRPr="00890DD5">
        <w:rPr>
          <w:lang w:val="es-CO"/>
        </w:rPr>
        <w:t xml:space="preserve">. </w:t>
      </w:r>
      <w:r w:rsidR="00DE53D8" w:rsidRPr="00890DD5">
        <w:rPr>
          <w:lang w:val="es-CO"/>
        </w:rPr>
        <w:t>Era por demás extraño que no teniendo memoria del corto plazo, la información hubiera quedado archivada en algún lugar de su cerebro.</w:t>
      </w:r>
      <w:r w:rsidR="00DE53D8" w:rsidRPr="00E74557">
        <w:rPr>
          <w:lang w:val="es-CO"/>
        </w:rPr>
        <w:t xml:space="preserve"> </w:t>
      </w:r>
      <w:r w:rsidR="00D45147" w:rsidRPr="005A4B27">
        <w:rPr>
          <w:lang w:val="es-CO"/>
        </w:rPr>
        <w:t xml:space="preserve">Lo que se me ocurrió instintivamente es que la dieta podría tener algo que ver con </w:t>
      </w:r>
      <w:r w:rsidR="00D44540" w:rsidRPr="00890DD5">
        <w:rPr>
          <w:lang w:val="es-CO"/>
        </w:rPr>
        <w:t xml:space="preserve">esa </w:t>
      </w:r>
      <w:r w:rsidR="00DE53D8" w:rsidRPr="00890DD5">
        <w:rPr>
          <w:lang w:val="es-CO"/>
        </w:rPr>
        <w:t>fluctuación, pero</w:t>
      </w:r>
      <w:r w:rsidR="00D44540" w:rsidRPr="00890DD5">
        <w:rPr>
          <w:lang w:val="es-CO"/>
        </w:rPr>
        <w:t xml:space="preserve">, </w:t>
      </w:r>
      <w:r w:rsidR="00890DD5">
        <w:rPr>
          <w:lang w:val="es-CO"/>
        </w:rPr>
        <w:t>¿</w:t>
      </w:r>
      <w:r w:rsidR="005179F5" w:rsidRPr="00890DD5">
        <w:rPr>
          <w:lang w:val="es-CO"/>
        </w:rPr>
        <w:t>qu</w:t>
      </w:r>
      <w:r w:rsidR="00DE53D8" w:rsidRPr="00890DD5">
        <w:rPr>
          <w:lang w:val="es-CO"/>
        </w:rPr>
        <w:t>é</w:t>
      </w:r>
      <w:r w:rsidR="005179F5" w:rsidRPr="00890DD5">
        <w:rPr>
          <w:lang w:val="es-CO"/>
        </w:rPr>
        <w:t xml:space="preserve"> era</w:t>
      </w:r>
      <w:r w:rsidR="005179F5" w:rsidRPr="005A4B27">
        <w:rPr>
          <w:lang w:val="es-CO"/>
        </w:rPr>
        <w:t>?</w:t>
      </w:r>
      <w:r w:rsidR="00BF10EA" w:rsidRPr="005A4B27">
        <w:rPr>
          <w:lang w:val="es-CO"/>
        </w:rPr>
        <w:t xml:space="preserve"> S</w:t>
      </w:r>
      <w:r w:rsidR="00D45147" w:rsidRPr="005A4B27">
        <w:rPr>
          <w:lang w:val="es-CO"/>
        </w:rPr>
        <w:t xml:space="preserve">abía que </w:t>
      </w:r>
      <w:r w:rsidR="00C85F21" w:rsidRPr="005A4B27">
        <w:rPr>
          <w:lang w:val="es-CO"/>
        </w:rPr>
        <w:t>Steven</w:t>
      </w:r>
      <w:r w:rsidR="00D45147" w:rsidRPr="005A4B27">
        <w:rPr>
          <w:lang w:val="es-CO"/>
        </w:rPr>
        <w:t xml:space="preserve"> estaba encerrado </w:t>
      </w:r>
      <w:r w:rsidR="005179F5" w:rsidRPr="005A4B27">
        <w:rPr>
          <w:lang w:val="es-CO"/>
        </w:rPr>
        <w:t xml:space="preserve">en algún lugar </w:t>
      </w:r>
      <w:r w:rsidR="00D45147" w:rsidRPr="005A4B27">
        <w:rPr>
          <w:lang w:val="es-CO"/>
        </w:rPr>
        <w:t>all</w:t>
      </w:r>
      <w:r w:rsidR="00DE53D8" w:rsidRPr="00890DD5">
        <w:rPr>
          <w:lang w:val="es-CO"/>
        </w:rPr>
        <w:t>í</w:t>
      </w:r>
      <w:r w:rsidR="00D45147" w:rsidRPr="005A4B27">
        <w:rPr>
          <w:lang w:val="es-CO"/>
        </w:rPr>
        <w:t xml:space="preserve"> adentro, </w:t>
      </w:r>
      <w:r w:rsidR="00B80E7B" w:rsidRPr="005A4B27">
        <w:rPr>
          <w:lang w:val="es-CO"/>
        </w:rPr>
        <w:t>si tan sólo hubiera</w:t>
      </w:r>
      <w:r w:rsidR="00D45147" w:rsidRPr="005A4B27">
        <w:rPr>
          <w:lang w:val="es-CO"/>
        </w:rPr>
        <w:t xml:space="preserve"> una llave para abrir las áreas de su cerebro a las cuales </w:t>
      </w:r>
      <w:r w:rsidR="00C85F21" w:rsidRPr="005A4B27">
        <w:rPr>
          <w:lang w:val="es-CO"/>
        </w:rPr>
        <w:t xml:space="preserve">él </w:t>
      </w:r>
      <w:r w:rsidR="00D45147" w:rsidRPr="005A4B27">
        <w:rPr>
          <w:lang w:val="es-CO"/>
        </w:rPr>
        <w:t xml:space="preserve"> no tenía acceso.</w:t>
      </w:r>
    </w:p>
    <w:p w:rsidR="00D45147" w:rsidRPr="005A4B27" w:rsidRDefault="00D45147" w:rsidP="00396753">
      <w:pPr>
        <w:jc w:val="both"/>
        <w:rPr>
          <w:lang w:val="es-CO"/>
        </w:rPr>
      </w:pPr>
      <w:r w:rsidRPr="005A4B27">
        <w:rPr>
          <w:lang w:val="es-CO"/>
        </w:rPr>
        <w:tab/>
      </w:r>
      <w:r w:rsidRPr="00890DD5">
        <w:rPr>
          <w:lang w:val="es-CO"/>
        </w:rPr>
        <w:t>Steve era contador</w:t>
      </w:r>
      <w:r w:rsidR="005179F5" w:rsidRPr="00890DD5">
        <w:rPr>
          <w:lang w:val="es-CO"/>
        </w:rPr>
        <w:t xml:space="preserve"> </w:t>
      </w:r>
      <w:r w:rsidR="00DE53D8" w:rsidRPr="00890DD5">
        <w:rPr>
          <w:lang w:val="es-CO"/>
        </w:rPr>
        <w:t>público certificado</w:t>
      </w:r>
      <w:r w:rsidRPr="00890DD5">
        <w:rPr>
          <w:lang w:val="es-CO"/>
        </w:rPr>
        <w:t xml:space="preserve"> y</w:t>
      </w:r>
      <w:r w:rsidR="00BF10EA" w:rsidRPr="00890DD5">
        <w:rPr>
          <w:lang w:val="es-CO"/>
        </w:rPr>
        <w:t>,</w:t>
      </w:r>
      <w:r w:rsidRPr="00890DD5">
        <w:rPr>
          <w:lang w:val="es-CO"/>
        </w:rPr>
        <w:t xml:space="preserve"> </w:t>
      </w:r>
      <w:r w:rsidR="0037376B" w:rsidRPr="00890DD5">
        <w:rPr>
          <w:lang w:val="es-CO"/>
        </w:rPr>
        <w:t xml:space="preserve">desde la casa, él llevaba toda la facturación, los libros y la contabilidad de mi consultorio de neonatología, para poder estar con nuestras hijas. Le encantaban las computadoras y </w:t>
      </w:r>
      <w:r w:rsidR="00890DD5" w:rsidRPr="00890DD5">
        <w:rPr>
          <w:lang w:val="es-CO"/>
        </w:rPr>
        <w:t>tipeaba muy</w:t>
      </w:r>
      <w:r w:rsidR="0037376B" w:rsidRPr="00890DD5">
        <w:rPr>
          <w:lang w:val="es-CO"/>
        </w:rPr>
        <w:t xml:space="preserve"> rápido.</w:t>
      </w:r>
      <w:r w:rsidR="0037376B" w:rsidRPr="00E74557">
        <w:rPr>
          <w:lang w:val="es-CO"/>
        </w:rPr>
        <w:t xml:space="preserve"> </w:t>
      </w:r>
      <w:r w:rsidR="00DD04D1" w:rsidRPr="00890DD5">
        <w:rPr>
          <w:lang w:val="es-CO"/>
        </w:rPr>
        <w:t>Además, sin haber recibido ninguna capacitación técnica, podía destapar cualquier computador y arreglar prácticamente cualquier problema.</w:t>
      </w:r>
      <w:r w:rsidR="00DD04D1" w:rsidRPr="00E74557">
        <w:rPr>
          <w:lang w:val="es-CO"/>
        </w:rPr>
        <w:t xml:space="preserve"> </w:t>
      </w:r>
      <w:r w:rsidR="007F575B" w:rsidRPr="005A4B27">
        <w:rPr>
          <w:lang w:val="es-CO"/>
        </w:rPr>
        <w:t xml:space="preserve">Si no tenía </w:t>
      </w:r>
      <w:r w:rsidR="0037376B" w:rsidRPr="00890DD5">
        <w:rPr>
          <w:lang w:val="es-CO"/>
        </w:rPr>
        <w:t>una</w:t>
      </w:r>
      <w:r w:rsidR="00890DD5">
        <w:rPr>
          <w:lang w:val="es-CO"/>
        </w:rPr>
        <w:t xml:space="preserve"> herramienta para hacer algo, </w:t>
      </w:r>
      <w:r w:rsidR="007F575B" w:rsidRPr="005A4B27">
        <w:rPr>
          <w:lang w:val="es-CO"/>
        </w:rPr>
        <w:t xml:space="preserve">la “inventaba” y </w:t>
      </w:r>
      <w:r w:rsidR="0046246C" w:rsidRPr="00890DD5">
        <w:rPr>
          <w:lang w:val="es-CO"/>
        </w:rPr>
        <w:t>creaba</w:t>
      </w:r>
      <w:r w:rsidR="007F575B" w:rsidRPr="005A4B27">
        <w:rPr>
          <w:lang w:val="es-CO"/>
        </w:rPr>
        <w:t xml:space="preserve"> un prototipo utilizable. Le encantaba navegar en kayak </w:t>
      </w:r>
      <w:r w:rsidR="0037376B" w:rsidRPr="00890DD5">
        <w:rPr>
          <w:lang w:val="es-CO"/>
        </w:rPr>
        <w:t xml:space="preserve">e </w:t>
      </w:r>
      <w:r w:rsidR="0046246C" w:rsidRPr="00890DD5">
        <w:rPr>
          <w:lang w:val="es-CO"/>
        </w:rPr>
        <w:t>invent</w:t>
      </w:r>
      <w:r w:rsidR="0037376B" w:rsidRPr="00890DD5">
        <w:rPr>
          <w:lang w:val="es-CO"/>
        </w:rPr>
        <w:t>ó</w:t>
      </w:r>
      <w:r w:rsidR="0046246C" w:rsidRPr="00890DD5">
        <w:rPr>
          <w:lang w:val="es-CO"/>
        </w:rPr>
        <w:t xml:space="preserve"> un accesorio para mantener </w:t>
      </w:r>
      <w:r w:rsidR="00890DD5">
        <w:rPr>
          <w:lang w:val="es-CO"/>
        </w:rPr>
        <w:t xml:space="preserve">un curso </w:t>
      </w:r>
      <w:r w:rsidR="0046246C" w:rsidRPr="00890DD5">
        <w:rPr>
          <w:lang w:val="es-CO"/>
        </w:rPr>
        <w:t>derecho</w:t>
      </w:r>
      <w:r w:rsidR="007F575B" w:rsidRPr="00890DD5">
        <w:rPr>
          <w:lang w:val="es-CO"/>
        </w:rPr>
        <w:t xml:space="preserve">. </w:t>
      </w:r>
      <w:r w:rsidR="0046246C" w:rsidRPr="00890DD5">
        <w:rPr>
          <w:lang w:val="es-CO"/>
        </w:rPr>
        <w:t xml:space="preserve">Hace unos cinco años </w:t>
      </w:r>
      <w:r w:rsidR="007F575B" w:rsidRPr="00890DD5">
        <w:rPr>
          <w:lang w:val="es-CO"/>
        </w:rPr>
        <w:t xml:space="preserve"> empezó a </w:t>
      </w:r>
      <w:r w:rsidR="0046246C" w:rsidRPr="00890DD5">
        <w:rPr>
          <w:lang w:val="es-CO"/>
        </w:rPr>
        <w:t>tener problemas</w:t>
      </w:r>
      <w:r w:rsidR="0046246C" w:rsidRPr="005A4B27">
        <w:rPr>
          <w:lang w:val="es-CO"/>
        </w:rPr>
        <w:t xml:space="preserve"> </w:t>
      </w:r>
      <w:r w:rsidR="00BC1EFF" w:rsidRPr="00890DD5">
        <w:rPr>
          <w:lang w:val="es-CO"/>
        </w:rPr>
        <w:t xml:space="preserve">para organizar </w:t>
      </w:r>
      <w:r w:rsidR="0046246C" w:rsidRPr="00890DD5">
        <w:rPr>
          <w:lang w:val="es-CO"/>
        </w:rPr>
        <w:t>su trabajo de contabilidad</w:t>
      </w:r>
      <w:r w:rsidR="007F575B" w:rsidRPr="00890DD5">
        <w:rPr>
          <w:lang w:val="es-CO"/>
        </w:rPr>
        <w:t>.</w:t>
      </w:r>
      <w:r w:rsidR="007F575B" w:rsidRPr="005A4B27">
        <w:rPr>
          <w:lang w:val="es-CO"/>
        </w:rPr>
        <w:t xml:space="preserve"> </w:t>
      </w:r>
      <w:r w:rsidR="00890DD5">
        <w:rPr>
          <w:lang w:val="es-CO"/>
        </w:rPr>
        <w:t>Comen</w:t>
      </w:r>
      <w:r w:rsidR="007F575B" w:rsidRPr="005A4B27">
        <w:rPr>
          <w:lang w:val="es-CO"/>
        </w:rPr>
        <w:t xml:space="preserve">zó </w:t>
      </w:r>
      <w:r w:rsidR="00890DD5">
        <w:rPr>
          <w:lang w:val="es-CO"/>
        </w:rPr>
        <w:t>por</w:t>
      </w:r>
      <w:r w:rsidR="007F575B" w:rsidRPr="005A4B27">
        <w:rPr>
          <w:lang w:val="es-CO"/>
        </w:rPr>
        <w:t xml:space="preserve"> aplazar esas tareas cada vez más y más, </w:t>
      </w:r>
      <w:r w:rsidR="00BF10EA" w:rsidRPr="005A4B27">
        <w:rPr>
          <w:lang w:val="es-CO"/>
        </w:rPr>
        <w:t>y cuando se decidía a hacerlas se equivocaba</w:t>
      </w:r>
      <w:r w:rsidR="007F575B" w:rsidRPr="005A4B27">
        <w:rPr>
          <w:lang w:val="es-CO"/>
        </w:rPr>
        <w:t xml:space="preserve"> </w:t>
      </w:r>
      <w:r w:rsidR="00BF10EA" w:rsidRPr="005A4B27">
        <w:rPr>
          <w:lang w:val="es-CO"/>
        </w:rPr>
        <w:t>e</w:t>
      </w:r>
      <w:r w:rsidR="007F575B" w:rsidRPr="005A4B27">
        <w:rPr>
          <w:lang w:val="es-CO"/>
        </w:rPr>
        <w:t xml:space="preserve">n la nómina, de manera que yo comencé a ayudarlo. </w:t>
      </w:r>
      <w:r w:rsidR="00BC1EFF" w:rsidRPr="00890DD5">
        <w:rPr>
          <w:lang w:val="es-CO"/>
        </w:rPr>
        <w:t xml:space="preserve">Pensé que todo se debía a que en mi consultorio todo se había complicado un poco al aumentar el número de empleados. </w:t>
      </w:r>
      <w:r w:rsidR="007F575B" w:rsidRPr="00890DD5">
        <w:rPr>
          <w:lang w:val="es-CO"/>
        </w:rPr>
        <w:t>Pero él se daba cuenta de que algo andaba mal y</w:t>
      </w:r>
      <w:r w:rsidR="0046246C" w:rsidRPr="00890DD5">
        <w:rPr>
          <w:lang w:val="es-CO"/>
        </w:rPr>
        <w:t xml:space="preserve"> </w:t>
      </w:r>
      <w:r w:rsidR="00BC1EFF" w:rsidRPr="00890DD5">
        <w:rPr>
          <w:lang w:val="es-CO"/>
        </w:rPr>
        <w:t>cayó</w:t>
      </w:r>
      <w:r w:rsidR="00BC1EFF">
        <w:rPr>
          <w:lang w:val="es-CO"/>
        </w:rPr>
        <w:t xml:space="preserve"> </w:t>
      </w:r>
      <w:r w:rsidR="0046246C" w:rsidRPr="005A4B27">
        <w:rPr>
          <w:lang w:val="es-CO"/>
        </w:rPr>
        <w:t>en un estado depresivo</w:t>
      </w:r>
      <w:r w:rsidR="007F575B" w:rsidRPr="005A4B27">
        <w:rPr>
          <w:lang w:val="es-CO"/>
        </w:rPr>
        <w:t xml:space="preserve">. </w:t>
      </w:r>
      <w:r w:rsidR="00D16E32" w:rsidRPr="005A4B27">
        <w:rPr>
          <w:lang w:val="es-CO"/>
        </w:rPr>
        <w:t xml:space="preserve">Hace unos 4 años </w:t>
      </w:r>
      <w:r w:rsidR="00BF10EA" w:rsidRPr="005A4B27">
        <w:rPr>
          <w:lang w:val="es-CO"/>
        </w:rPr>
        <w:t>visitamos</w:t>
      </w:r>
      <w:r w:rsidR="00D16E32" w:rsidRPr="005A4B27">
        <w:rPr>
          <w:lang w:val="es-CO"/>
        </w:rPr>
        <w:t xml:space="preserve"> un neurólogo que le practicó un MMS (</w:t>
      </w:r>
      <w:r w:rsidR="00D16E32" w:rsidRPr="005A4B27">
        <w:rPr>
          <w:i/>
          <w:lang w:val="es-CO"/>
        </w:rPr>
        <w:t>Mini Mental Status Exam</w:t>
      </w:r>
      <w:r w:rsidR="00D16E32" w:rsidRPr="005A4B27">
        <w:rPr>
          <w:lang w:val="es-CO"/>
        </w:rPr>
        <w:t xml:space="preserve"> – Mini Examen del Estado Mental) y Steve obtuvo un puntaje de 23 sobre 30, que lo </w:t>
      </w:r>
      <w:r w:rsidR="00D16E32" w:rsidRPr="005A4B27">
        <w:rPr>
          <w:lang w:val="es-CO"/>
        </w:rPr>
        <w:lastRenderedPageBreak/>
        <w:t>ubicaba en un nivel de demencia</w:t>
      </w:r>
      <w:r w:rsidR="00BF10EA" w:rsidRPr="005A4B27">
        <w:rPr>
          <w:lang w:val="es-CO"/>
        </w:rPr>
        <w:t xml:space="preserve"> leve</w:t>
      </w:r>
      <w:r w:rsidR="00D16E32" w:rsidRPr="005A4B27">
        <w:rPr>
          <w:lang w:val="es-CO"/>
        </w:rPr>
        <w:t xml:space="preserve">. En esta prueba, cuanto más bajo es el puntaje, más avanzada está la demencia. En ese momento su MRI </w:t>
      </w:r>
      <w:r w:rsidR="00D154F7" w:rsidRPr="00890DD5">
        <w:rPr>
          <w:lang w:val="es-CO"/>
        </w:rPr>
        <w:t>fue</w:t>
      </w:r>
      <w:r w:rsidR="00D16E32" w:rsidRPr="005A4B27">
        <w:rPr>
          <w:lang w:val="es-CO"/>
        </w:rPr>
        <w:t xml:space="preserve"> normal.</w:t>
      </w:r>
    </w:p>
    <w:p w:rsidR="00D16E32" w:rsidRPr="00BE502B" w:rsidRDefault="00D16E32" w:rsidP="00396753">
      <w:pPr>
        <w:jc w:val="both"/>
        <w:rPr>
          <w:lang w:val="es-CO"/>
        </w:rPr>
      </w:pPr>
      <w:r w:rsidRPr="005A4B27">
        <w:rPr>
          <w:lang w:val="es-CO"/>
        </w:rPr>
        <w:tab/>
      </w:r>
      <w:r w:rsidR="00BC1EFF" w:rsidRPr="00890DD5">
        <w:rPr>
          <w:lang w:val="es-CO"/>
        </w:rPr>
        <w:t xml:space="preserve">Unos tres años atrás, Steve empezó a tomar Aricept y hace dos años, Namenda. </w:t>
      </w:r>
      <w:r w:rsidRPr="00890DD5">
        <w:rPr>
          <w:lang w:val="es-CO"/>
        </w:rPr>
        <w:t>Teníamos la esperanza de que si lográbamos retrasar su deterioro</w:t>
      </w:r>
      <w:r w:rsidR="00B80E7B" w:rsidRPr="00890DD5">
        <w:rPr>
          <w:lang w:val="es-CO"/>
        </w:rPr>
        <w:t xml:space="preserve"> lo suficiente</w:t>
      </w:r>
      <w:r w:rsidRPr="00890DD5">
        <w:rPr>
          <w:lang w:val="es-CO"/>
        </w:rPr>
        <w:t xml:space="preserve">, </w:t>
      </w:r>
      <w:r w:rsidR="00BC1EFF" w:rsidRPr="00890DD5">
        <w:rPr>
          <w:lang w:val="es-CO"/>
        </w:rPr>
        <w:t xml:space="preserve">surgiría </w:t>
      </w:r>
      <w:r w:rsidRPr="00890DD5">
        <w:rPr>
          <w:lang w:val="es-CO"/>
        </w:rPr>
        <w:t xml:space="preserve">algún </w:t>
      </w:r>
      <w:r w:rsidR="00394017" w:rsidRPr="00890DD5">
        <w:rPr>
          <w:lang w:val="es-CO"/>
        </w:rPr>
        <w:t xml:space="preserve">nuevo </w:t>
      </w:r>
      <w:r w:rsidRPr="00890DD5">
        <w:rPr>
          <w:lang w:val="es-CO"/>
        </w:rPr>
        <w:t xml:space="preserve">tratamiento que podría </w:t>
      </w:r>
      <w:r w:rsidR="00394017" w:rsidRPr="00890DD5">
        <w:rPr>
          <w:lang w:val="es-CO"/>
        </w:rPr>
        <w:t xml:space="preserve">mejorar las cosas para </w:t>
      </w:r>
      <w:r w:rsidR="00BC1EFF" w:rsidRPr="00890DD5">
        <w:rPr>
          <w:lang w:val="es-CO"/>
        </w:rPr>
        <w:t>él</w:t>
      </w:r>
      <w:r w:rsidRPr="00890DD5">
        <w:rPr>
          <w:lang w:val="es-CO"/>
        </w:rPr>
        <w:t xml:space="preserve">. En agosto de 2007 </w:t>
      </w:r>
      <w:r w:rsidR="009A4E21" w:rsidRPr="00890DD5">
        <w:rPr>
          <w:lang w:val="es-CO"/>
        </w:rPr>
        <w:t xml:space="preserve">a </w:t>
      </w:r>
      <w:r w:rsidR="00BF10EA" w:rsidRPr="00890DD5">
        <w:rPr>
          <w:lang w:val="es-CO"/>
        </w:rPr>
        <w:t>Steven</w:t>
      </w:r>
      <w:r w:rsidRPr="00890DD5">
        <w:rPr>
          <w:lang w:val="es-CO"/>
        </w:rPr>
        <w:t xml:space="preserve"> </w:t>
      </w:r>
      <w:r w:rsidR="00BC1EFF" w:rsidRPr="00890DD5">
        <w:rPr>
          <w:lang w:val="es-CO"/>
        </w:rPr>
        <w:t>se</w:t>
      </w:r>
      <w:r w:rsidR="009A4E21" w:rsidRPr="00890DD5">
        <w:rPr>
          <w:lang w:val="es-CO"/>
        </w:rPr>
        <w:t xml:space="preserve"> le</w:t>
      </w:r>
      <w:r w:rsidR="00BC1EFF" w:rsidRPr="00890DD5">
        <w:rPr>
          <w:lang w:val="es-CO"/>
        </w:rPr>
        <w:t xml:space="preserve"> cambió </w:t>
      </w:r>
      <w:r w:rsidR="009A4E21" w:rsidRPr="00890DD5">
        <w:rPr>
          <w:lang w:val="es-CO"/>
        </w:rPr>
        <w:t xml:space="preserve">el tratamiento </w:t>
      </w:r>
      <w:r w:rsidR="00BC1EFF" w:rsidRPr="00890DD5">
        <w:rPr>
          <w:lang w:val="es-CO"/>
        </w:rPr>
        <w:t>de</w:t>
      </w:r>
      <w:r w:rsidRPr="00890DD5">
        <w:rPr>
          <w:lang w:val="es-CO"/>
        </w:rPr>
        <w:t xml:space="preserve"> Aricept a Exelon después de </w:t>
      </w:r>
      <w:r w:rsidR="00BF10EA" w:rsidRPr="00890DD5">
        <w:rPr>
          <w:lang w:val="es-CO"/>
        </w:rPr>
        <w:t>haber perdido</w:t>
      </w:r>
      <w:r w:rsidRPr="00890DD5">
        <w:rPr>
          <w:lang w:val="es-CO"/>
        </w:rPr>
        <w:t xml:space="preserve"> diez libras</w:t>
      </w:r>
      <w:r w:rsidR="00A043E3" w:rsidRPr="00890DD5">
        <w:rPr>
          <w:lang w:val="es-CO"/>
        </w:rPr>
        <w:t xml:space="preserve"> en unas cuantas semanas. Él ya no </w:t>
      </w:r>
      <w:r w:rsidR="00E5094D" w:rsidRPr="00890DD5">
        <w:rPr>
          <w:lang w:val="es-CO"/>
        </w:rPr>
        <w:t>podía</w:t>
      </w:r>
      <w:r w:rsidR="00E5094D">
        <w:rPr>
          <w:lang w:val="es-CO"/>
        </w:rPr>
        <w:t xml:space="preserve"> </w:t>
      </w:r>
      <w:r w:rsidR="00A043E3" w:rsidRPr="005A4B27">
        <w:rPr>
          <w:lang w:val="es-CO"/>
        </w:rPr>
        <w:t xml:space="preserve">cocinar su propia comida, no </w:t>
      </w:r>
      <w:r w:rsidR="00BC1EFF" w:rsidRPr="00890DD5">
        <w:rPr>
          <w:lang w:val="es-CO"/>
        </w:rPr>
        <w:t>rec</w:t>
      </w:r>
      <w:r w:rsidR="00E5094D" w:rsidRPr="00890DD5">
        <w:rPr>
          <w:lang w:val="es-CO"/>
        </w:rPr>
        <w:t>ordaba</w:t>
      </w:r>
      <w:r w:rsidR="00BC1EFF">
        <w:rPr>
          <w:lang w:val="es-CO"/>
        </w:rPr>
        <w:t xml:space="preserve"> </w:t>
      </w:r>
      <w:r w:rsidR="00A043E3" w:rsidRPr="005A4B27">
        <w:rPr>
          <w:lang w:val="es-CO"/>
        </w:rPr>
        <w:t>tomar sus comidas</w:t>
      </w:r>
      <w:r w:rsidR="00B80E7B" w:rsidRPr="005A4B27">
        <w:rPr>
          <w:lang w:val="es-CO"/>
        </w:rPr>
        <w:t>,</w:t>
      </w:r>
      <w:r w:rsidR="00A043E3" w:rsidRPr="005A4B27">
        <w:rPr>
          <w:lang w:val="es-CO"/>
        </w:rPr>
        <w:t xml:space="preserve"> tampoco cómo usar una calculadora, y ni siquiera</w:t>
      </w:r>
      <w:r w:rsidR="00BF10EA" w:rsidRPr="005A4B27">
        <w:rPr>
          <w:lang w:val="es-CO"/>
        </w:rPr>
        <w:t xml:space="preserve"> </w:t>
      </w:r>
      <w:r w:rsidR="00E5094D" w:rsidRPr="00890DD5">
        <w:rPr>
          <w:lang w:val="es-CO"/>
        </w:rPr>
        <w:t>podía</w:t>
      </w:r>
      <w:r w:rsidR="00E5094D" w:rsidRPr="005A4B27">
        <w:rPr>
          <w:lang w:val="es-CO"/>
        </w:rPr>
        <w:t xml:space="preserve"> </w:t>
      </w:r>
      <w:r w:rsidR="00BF10EA" w:rsidRPr="005A4B27">
        <w:rPr>
          <w:lang w:val="es-CO"/>
        </w:rPr>
        <w:t>hacer la suma más s</w:t>
      </w:r>
      <w:r w:rsidR="00C85F21" w:rsidRPr="005A4B27">
        <w:rPr>
          <w:lang w:val="es-CO"/>
        </w:rPr>
        <w:t>encilla</w:t>
      </w:r>
      <w:r w:rsidR="00890DD5">
        <w:rPr>
          <w:lang w:val="es-CO"/>
        </w:rPr>
        <w:t>; sin embargo todavía se</w:t>
      </w:r>
      <w:r w:rsidR="00E5094D">
        <w:rPr>
          <w:lang w:val="es-CO"/>
        </w:rPr>
        <w:t xml:space="preserve"> </w:t>
      </w:r>
      <w:r w:rsidR="00E5094D" w:rsidRPr="00890DD5">
        <w:rPr>
          <w:lang w:val="es-CO"/>
        </w:rPr>
        <w:t xml:space="preserve">mantenía </w:t>
      </w:r>
      <w:r w:rsidR="00394017" w:rsidRPr="00890DD5">
        <w:rPr>
          <w:lang w:val="es-CO"/>
        </w:rPr>
        <w:t xml:space="preserve">todo el </w:t>
      </w:r>
      <w:r w:rsidR="00E5094D" w:rsidRPr="00890DD5">
        <w:rPr>
          <w:lang w:val="es-CO"/>
        </w:rPr>
        <w:t xml:space="preserve">día </w:t>
      </w:r>
      <w:r w:rsidR="00A043E3" w:rsidRPr="00890DD5">
        <w:rPr>
          <w:lang w:val="es-CO"/>
        </w:rPr>
        <w:t xml:space="preserve">ocupado trabajando en el jardín o en el </w:t>
      </w:r>
      <w:r w:rsidR="00E74557" w:rsidRPr="00890DD5">
        <w:rPr>
          <w:lang w:val="es-CO"/>
        </w:rPr>
        <w:t>garaje</w:t>
      </w:r>
      <w:r w:rsidR="00A043E3" w:rsidRPr="00890DD5">
        <w:rPr>
          <w:lang w:val="es-CO"/>
        </w:rPr>
        <w:t xml:space="preserve"> y su estado físico aún </w:t>
      </w:r>
      <w:r w:rsidR="00394017" w:rsidRPr="00890DD5">
        <w:rPr>
          <w:lang w:val="es-CO"/>
        </w:rPr>
        <w:t>era</w:t>
      </w:r>
      <w:r w:rsidR="00BF10EA" w:rsidRPr="00890DD5">
        <w:rPr>
          <w:lang w:val="es-CO"/>
        </w:rPr>
        <w:t xml:space="preserve"> bueno. </w:t>
      </w:r>
      <w:r w:rsidR="00E5094D" w:rsidRPr="00890DD5">
        <w:rPr>
          <w:lang w:val="es-CO"/>
        </w:rPr>
        <w:t>Ahora yo cocino para este hombre que acostumbraba a cocinar para su familia todos los días.</w:t>
      </w:r>
      <w:r w:rsidR="00E5094D" w:rsidRPr="00E74557">
        <w:rPr>
          <w:lang w:val="es-CO"/>
        </w:rPr>
        <w:t xml:space="preserve"> </w:t>
      </w:r>
      <w:r w:rsidR="00A043E3" w:rsidRPr="005A4B27">
        <w:rPr>
          <w:lang w:val="es-CO"/>
        </w:rPr>
        <w:t>Le doy sus medicam</w:t>
      </w:r>
      <w:r w:rsidR="00466E2B" w:rsidRPr="005A4B27">
        <w:rPr>
          <w:lang w:val="es-CO"/>
        </w:rPr>
        <w:t xml:space="preserve">entos porque ya no </w:t>
      </w:r>
      <w:r w:rsidR="00394017" w:rsidRPr="005A4B27">
        <w:rPr>
          <w:lang w:val="es-CO"/>
        </w:rPr>
        <w:t>recuerda</w:t>
      </w:r>
      <w:r w:rsidR="00A043E3" w:rsidRPr="005A4B27">
        <w:rPr>
          <w:lang w:val="es-CO"/>
        </w:rPr>
        <w:t xml:space="preserve"> que debe tomarlos y mucho menos</w:t>
      </w:r>
      <w:r w:rsidR="00394017" w:rsidRPr="005A4B27">
        <w:rPr>
          <w:lang w:val="es-CO"/>
        </w:rPr>
        <w:t xml:space="preserve"> puede</w:t>
      </w:r>
      <w:r w:rsidR="00A043E3" w:rsidRPr="005A4B27">
        <w:rPr>
          <w:lang w:val="es-CO"/>
        </w:rPr>
        <w:t xml:space="preserve"> tomar las p</w:t>
      </w:r>
      <w:r w:rsidR="00B80E7B" w:rsidRPr="005A4B27">
        <w:rPr>
          <w:lang w:val="es-CO"/>
        </w:rPr>
        <w:t>íldor</w:t>
      </w:r>
      <w:r w:rsidR="00A043E3" w:rsidRPr="005A4B27">
        <w:rPr>
          <w:lang w:val="es-CO"/>
        </w:rPr>
        <w:t xml:space="preserve">as correctas. Cada noche, nos abrazamos antes de dormirnos y me pregunto cuántas veces más vamos a volver a hacerlo. </w:t>
      </w:r>
      <w:r w:rsidR="00394017" w:rsidRPr="005A4B27">
        <w:rPr>
          <w:lang w:val="es-CO"/>
        </w:rPr>
        <w:t xml:space="preserve">Para mi es una pesadilla ver su deteriodo y no poder hacer </w:t>
      </w:r>
      <w:r w:rsidR="00E5094D" w:rsidRPr="00BE502B">
        <w:rPr>
          <w:lang w:val="es-CO"/>
        </w:rPr>
        <w:t xml:space="preserve">más </w:t>
      </w:r>
      <w:r w:rsidR="00394017" w:rsidRPr="00BE502B">
        <w:rPr>
          <w:lang w:val="es-CO"/>
        </w:rPr>
        <w:t>que observarlo</w:t>
      </w:r>
      <w:r w:rsidR="00A043E3" w:rsidRPr="00BE502B">
        <w:rPr>
          <w:lang w:val="es-CO"/>
        </w:rPr>
        <w:t>. Él está perfectamente consciente de su demencia y frecuentemente hablamos de ello. Ya salió de su depres</w:t>
      </w:r>
      <w:r w:rsidR="00466E2B" w:rsidRPr="00BE502B">
        <w:rPr>
          <w:lang w:val="es-CO"/>
        </w:rPr>
        <w:t>ió</w:t>
      </w:r>
      <w:r w:rsidR="00A043E3" w:rsidRPr="00BE502B">
        <w:rPr>
          <w:lang w:val="es-CO"/>
        </w:rPr>
        <w:t>n, probablemente gracias a la ayuda terapéutica</w:t>
      </w:r>
      <w:r w:rsidR="00BB3DC2" w:rsidRPr="00BE502B">
        <w:rPr>
          <w:lang w:val="es-CO"/>
        </w:rPr>
        <w:t>, al Lexipro y el Wellbutrin, o quizás porque su enfermedad ha empeorado.</w:t>
      </w:r>
    </w:p>
    <w:p w:rsidR="00BB3DC2" w:rsidRPr="00BE502B" w:rsidRDefault="00BB3DC2" w:rsidP="00396753">
      <w:pPr>
        <w:jc w:val="both"/>
        <w:rPr>
          <w:lang w:val="es-CO"/>
        </w:rPr>
      </w:pPr>
      <w:r w:rsidRPr="00BE502B">
        <w:rPr>
          <w:lang w:val="es-CO"/>
        </w:rPr>
        <w:tab/>
        <w:t xml:space="preserve">Estoy </w:t>
      </w:r>
      <w:r w:rsidR="00E5094D" w:rsidRPr="00BE502B">
        <w:rPr>
          <w:lang w:val="es-CO"/>
        </w:rPr>
        <w:t>suscrita</w:t>
      </w:r>
      <w:r w:rsidR="00E5094D">
        <w:rPr>
          <w:lang w:val="es-CO"/>
        </w:rPr>
        <w:t xml:space="preserve"> </w:t>
      </w:r>
      <w:r w:rsidRPr="005A4B27">
        <w:rPr>
          <w:lang w:val="es-CO"/>
        </w:rPr>
        <w:t xml:space="preserve">a varias </w:t>
      </w:r>
      <w:r w:rsidR="000E5431" w:rsidRPr="005A4B27">
        <w:rPr>
          <w:lang w:val="es-CO"/>
        </w:rPr>
        <w:t xml:space="preserve">cadenas de </w:t>
      </w:r>
      <w:r w:rsidRPr="005A4B27">
        <w:rPr>
          <w:lang w:val="es-CO"/>
        </w:rPr>
        <w:t>alerta</w:t>
      </w:r>
      <w:r w:rsidR="000E5431" w:rsidRPr="005A4B27">
        <w:rPr>
          <w:lang w:val="es-CO"/>
        </w:rPr>
        <w:t xml:space="preserve"> en </w:t>
      </w:r>
      <w:r w:rsidR="00955822">
        <w:rPr>
          <w:lang w:val="es-CO"/>
        </w:rPr>
        <w:t>I</w:t>
      </w:r>
      <w:r w:rsidR="000E5431" w:rsidRPr="00E5094D">
        <w:rPr>
          <w:lang w:val="es-CO"/>
        </w:rPr>
        <w:t>nternet</w:t>
      </w:r>
      <w:r w:rsidRPr="005A4B27">
        <w:rPr>
          <w:lang w:val="es-CO"/>
        </w:rPr>
        <w:t xml:space="preserve"> y peri</w:t>
      </w:r>
      <w:r w:rsidR="00466E2B" w:rsidRPr="005A4B27">
        <w:rPr>
          <w:lang w:val="es-CO"/>
        </w:rPr>
        <w:t>ódicamente reviso</w:t>
      </w:r>
      <w:r w:rsidRPr="005A4B27">
        <w:rPr>
          <w:lang w:val="es-CO"/>
        </w:rPr>
        <w:t xml:space="preserve"> el sitio web </w:t>
      </w:r>
      <w:hyperlink r:id="rId7" w:history="1">
        <w:r w:rsidRPr="005A4B27">
          <w:rPr>
            <w:rStyle w:val="Hyperlink"/>
            <w:color w:val="auto"/>
            <w:u w:val="none"/>
            <w:lang w:val="es-CO"/>
          </w:rPr>
          <w:t>www.clinicaltrials.gov</w:t>
        </w:r>
      </w:hyperlink>
      <w:r w:rsidRPr="005A4B27">
        <w:rPr>
          <w:lang w:val="es-CO"/>
        </w:rPr>
        <w:t xml:space="preserve">, en busca de </w:t>
      </w:r>
      <w:r w:rsidR="000E5431" w:rsidRPr="005A4B27">
        <w:rPr>
          <w:lang w:val="es-CO"/>
        </w:rPr>
        <w:t>nuevos tratamientos</w:t>
      </w:r>
      <w:r w:rsidRPr="005A4B27">
        <w:rPr>
          <w:lang w:val="es-CO"/>
        </w:rPr>
        <w:t xml:space="preserve"> </w:t>
      </w:r>
      <w:r w:rsidR="00281352" w:rsidRPr="005A4B27">
        <w:rPr>
          <w:lang w:val="es-CO"/>
        </w:rPr>
        <w:t>en lo que</w:t>
      </w:r>
      <w:r w:rsidRPr="005A4B27">
        <w:rPr>
          <w:lang w:val="es-CO"/>
        </w:rPr>
        <w:t xml:space="preserve"> él </w:t>
      </w:r>
      <w:r w:rsidR="00AF0F45" w:rsidRPr="00BE502B">
        <w:rPr>
          <w:lang w:val="es-CO"/>
        </w:rPr>
        <w:t xml:space="preserve">pueda estar calificado </w:t>
      </w:r>
      <w:r w:rsidR="00281352" w:rsidRPr="00BE502B">
        <w:rPr>
          <w:lang w:val="es-CO"/>
        </w:rPr>
        <w:t>para participar</w:t>
      </w:r>
      <w:r w:rsidRPr="00BE502B">
        <w:rPr>
          <w:lang w:val="es-CO"/>
        </w:rPr>
        <w:t xml:space="preserve">. Hace dos años tratamos de que </w:t>
      </w:r>
      <w:r w:rsidR="000E5431" w:rsidRPr="00BE502B">
        <w:rPr>
          <w:lang w:val="es-CO"/>
        </w:rPr>
        <w:t>calificara</w:t>
      </w:r>
      <w:r w:rsidRPr="00BE502B">
        <w:rPr>
          <w:lang w:val="es-CO"/>
        </w:rPr>
        <w:t xml:space="preserve"> </w:t>
      </w:r>
      <w:r w:rsidR="000E5431" w:rsidRPr="00BE502B">
        <w:rPr>
          <w:lang w:val="es-CO"/>
        </w:rPr>
        <w:t>para</w:t>
      </w:r>
      <w:r w:rsidRPr="00BE502B">
        <w:rPr>
          <w:lang w:val="es-CO"/>
        </w:rPr>
        <w:t xml:space="preserve"> </w:t>
      </w:r>
      <w:r w:rsidR="00BE502B" w:rsidRPr="00BE502B">
        <w:rPr>
          <w:lang w:val="es-CO"/>
        </w:rPr>
        <w:t>participar</w:t>
      </w:r>
      <w:r w:rsidR="00AF0F45" w:rsidRPr="00BE502B">
        <w:rPr>
          <w:lang w:val="es-CO"/>
        </w:rPr>
        <w:t xml:space="preserve"> en</w:t>
      </w:r>
      <w:r w:rsidR="00AF0F45">
        <w:rPr>
          <w:lang w:val="es-CO"/>
        </w:rPr>
        <w:t xml:space="preserve"> </w:t>
      </w:r>
      <w:r w:rsidRPr="005A4B27">
        <w:rPr>
          <w:lang w:val="es-CO"/>
        </w:rPr>
        <w:t xml:space="preserve">un </w:t>
      </w:r>
      <w:r w:rsidR="000B0740" w:rsidRPr="005A4B27">
        <w:rPr>
          <w:lang w:val="es-CO"/>
        </w:rPr>
        <w:t xml:space="preserve">prometedor </w:t>
      </w:r>
      <w:r w:rsidR="00466E2B" w:rsidRPr="005A4B27">
        <w:rPr>
          <w:lang w:val="es-CO"/>
        </w:rPr>
        <w:t>e</w:t>
      </w:r>
      <w:r w:rsidRPr="005A4B27">
        <w:rPr>
          <w:lang w:val="es-CO"/>
        </w:rPr>
        <w:t xml:space="preserve">studio </w:t>
      </w:r>
      <w:r w:rsidR="000B0740" w:rsidRPr="005A4B27">
        <w:rPr>
          <w:lang w:val="es-CO"/>
        </w:rPr>
        <w:t>de</w:t>
      </w:r>
      <w:r w:rsidR="00BE502B">
        <w:rPr>
          <w:lang w:val="es-CO"/>
        </w:rPr>
        <w:t xml:space="preserve"> un</w:t>
      </w:r>
      <w:r w:rsidRPr="005A4B27">
        <w:rPr>
          <w:lang w:val="es-CO"/>
        </w:rPr>
        <w:t xml:space="preserve"> medicamento </w:t>
      </w:r>
      <w:r w:rsidR="00E74557" w:rsidRPr="005A4B27">
        <w:rPr>
          <w:lang w:val="es-CO"/>
        </w:rPr>
        <w:t>antinflamatorio</w:t>
      </w:r>
      <w:r w:rsidRPr="005A4B27">
        <w:rPr>
          <w:lang w:val="es-CO"/>
        </w:rPr>
        <w:t xml:space="preserve">, Flurizan, pero no calificó por </w:t>
      </w:r>
      <w:r w:rsidR="000B0740" w:rsidRPr="00BE502B">
        <w:rPr>
          <w:lang w:val="es-CO"/>
        </w:rPr>
        <w:t>haber tenido</w:t>
      </w:r>
      <w:r w:rsidRPr="00BE502B">
        <w:rPr>
          <w:lang w:val="es-CO"/>
        </w:rPr>
        <w:t xml:space="preserve"> </w:t>
      </w:r>
      <w:r w:rsidR="000B0740" w:rsidRPr="00BE502B">
        <w:rPr>
          <w:lang w:val="es-CO"/>
        </w:rPr>
        <w:t>depresión durante</w:t>
      </w:r>
      <w:r w:rsidRPr="00BE502B">
        <w:rPr>
          <w:lang w:val="es-CO"/>
        </w:rPr>
        <w:t xml:space="preserve"> los dos años previos. ¿No se deprimiría usted si supiera que tiene Alzheimer? De hecho, la depres</w:t>
      </w:r>
      <w:r w:rsidR="00466E2B" w:rsidRPr="00BE502B">
        <w:rPr>
          <w:lang w:val="es-CO"/>
        </w:rPr>
        <w:t>ió</w:t>
      </w:r>
      <w:r w:rsidRPr="00BE502B">
        <w:rPr>
          <w:lang w:val="es-CO"/>
        </w:rPr>
        <w:t>n p</w:t>
      </w:r>
      <w:r w:rsidR="00466E2B" w:rsidRPr="00BE502B">
        <w:rPr>
          <w:lang w:val="es-CO"/>
        </w:rPr>
        <w:t>odría</w:t>
      </w:r>
      <w:r w:rsidRPr="00BE502B">
        <w:rPr>
          <w:lang w:val="es-CO"/>
        </w:rPr>
        <w:t xml:space="preserve"> ser un síntoma </w:t>
      </w:r>
      <w:r w:rsidR="000B0740" w:rsidRPr="00BE502B">
        <w:rPr>
          <w:lang w:val="es-CO"/>
        </w:rPr>
        <w:t xml:space="preserve">o un </w:t>
      </w:r>
      <w:r w:rsidRPr="00BE502B">
        <w:rPr>
          <w:lang w:val="es-CO"/>
        </w:rPr>
        <w:t>precursor de</w:t>
      </w:r>
      <w:r w:rsidR="000B0740" w:rsidRPr="00BE502B">
        <w:rPr>
          <w:lang w:val="es-CO"/>
        </w:rPr>
        <w:t xml:space="preserve"> la enfermedad de</w:t>
      </w:r>
      <w:r w:rsidRPr="00BE502B">
        <w:rPr>
          <w:lang w:val="es-CO"/>
        </w:rPr>
        <w:t xml:space="preserve"> Alzheimer.</w:t>
      </w:r>
    </w:p>
    <w:p w:rsidR="00BB3DC2" w:rsidRPr="005A4B27" w:rsidRDefault="00BB3DC2" w:rsidP="00396753">
      <w:pPr>
        <w:jc w:val="both"/>
        <w:rPr>
          <w:lang w:val="es-CO"/>
        </w:rPr>
      </w:pPr>
      <w:r w:rsidRPr="00BE502B">
        <w:rPr>
          <w:lang w:val="es-CO"/>
        </w:rPr>
        <w:tab/>
        <w:t>Hasta hace muy poc</w:t>
      </w:r>
      <w:r w:rsidR="00DC04F2" w:rsidRPr="00BE502B">
        <w:rPr>
          <w:lang w:val="es-CO"/>
        </w:rPr>
        <w:t>o</w:t>
      </w:r>
      <w:r w:rsidRPr="00BE502B">
        <w:rPr>
          <w:lang w:val="es-CO"/>
        </w:rPr>
        <w:t xml:space="preserve"> tiempo, yo no </w:t>
      </w:r>
      <w:r w:rsidR="000B0740" w:rsidRPr="00BE502B">
        <w:rPr>
          <w:lang w:val="es-CO"/>
        </w:rPr>
        <w:t>tenia conocimiento del potencial</w:t>
      </w:r>
      <w:r w:rsidR="00AF4B74" w:rsidRPr="00BE502B">
        <w:rPr>
          <w:lang w:val="es-CO"/>
        </w:rPr>
        <w:t xml:space="preserve"> uso de triglicéridos de cadena media (</w:t>
      </w:r>
      <w:r w:rsidR="006A1260" w:rsidRPr="00BE502B">
        <w:rPr>
          <w:lang w:val="es-CO"/>
        </w:rPr>
        <w:t xml:space="preserve">acrónimo en inglés: </w:t>
      </w:r>
      <w:r w:rsidR="00AF4B74" w:rsidRPr="00BE502B">
        <w:rPr>
          <w:lang w:val="es-CO"/>
        </w:rPr>
        <w:t>MCT</w:t>
      </w:r>
      <w:r w:rsidR="00DC04F2" w:rsidRPr="00BE502B">
        <w:rPr>
          <w:lang w:val="es-CO"/>
        </w:rPr>
        <w:t xml:space="preserve"> – </w:t>
      </w:r>
      <w:r w:rsidR="00DC04F2" w:rsidRPr="00BE502B">
        <w:rPr>
          <w:i/>
          <w:lang w:val="es-CO"/>
        </w:rPr>
        <w:t>medium chain triglycerides</w:t>
      </w:r>
      <w:r w:rsidR="006A1260" w:rsidRPr="00BE502B">
        <w:rPr>
          <w:i/>
          <w:lang w:val="es-CO"/>
        </w:rPr>
        <w:t xml:space="preserve"> </w:t>
      </w:r>
      <w:r w:rsidR="006A1260" w:rsidRPr="00BE502B">
        <w:rPr>
          <w:lang w:val="es-CO"/>
        </w:rPr>
        <w:t>y, en español, TCM – triglicéridos de cadena media</w:t>
      </w:r>
      <w:r w:rsidR="00AF4B74" w:rsidRPr="00BE502B">
        <w:rPr>
          <w:lang w:val="es-CO"/>
        </w:rPr>
        <w:t>), o cetonas (también llamad</w:t>
      </w:r>
      <w:r w:rsidR="00DC04F2" w:rsidRPr="00BE502B">
        <w:rPr>
          <w:lang w:val="es-CO"/>
        </w:rPr>
        <w:t>a</w:t>
      </w:r>
      <w:r w:rsidR="00AF4B74" w:rsidRPr="00BE502B">
        <w:rPr>
          <w:lang w:val="es-CO"/>
        </w:rPr>
        <w:t>s cetoácidos), producto final de su metabolismo, con el cual se podría no solamente tratar, sino prevenir la</w:t>
      </w:r>
      <w:r w:rsidR="00AF4B74" w:rsidRPr="005A4B27">
        <w:rPr>
          <w:lang w:val="es-CO"/>
        </w:rPr>
        <w:t xml:space="preserve"> enfermedad de Alzheimer. </w:t>
      </w:r>
      <w:r w:rsidR="005028BD" w:rsidRPr="005A4B27">
        <w:rPr>
          <w:lang w:val="es-CO"/>
        </w:rPr>
        <w:t xml:space="preserve">Es </w:t>
      </w:r>
      <w:r w:rsidR="00AF4B74" w:rsidRPr="005A4B27">
        <w:rPr>
          <w:lang w:val="es-CO"/>
        </w:rPr>
        <w:t xml:space="preserve">más, este es un </w:t>
      </w:r>
      <w:r w:rsidR="00AF0F45" w:rsidRPr="00BE502B">
        <w:rPr>
          <w:lang w:val="es-CO"/>
        </w:rPr>
        <w:t>tratamiento potencial</w:t>
      </w:r>
      <w:r w:rsidR="00AF0F45">
        <w:rPr>
          <w:lang w:val="es-CO"/>
        </w:rPr>
        <w:t xml:space="preserve"> </w:t>
      </w:r>
      <w:r w:rsidR="000B0740" w:rsidRPr="005A4B27">
        <w:rPr>
          <w:lang w:val="es-CO"/>
        </w:rPr>
        <w:t xml:space="preserve">para </w:t>
      </w:r>
      <w:r w:rsidR="00AF4B74" w:rsidRPr="005A4B27">
        <w:rPr>
          <w:lang w:val="es-CO"/>
        </w:rPr>
        <w:t>enfermedad</w:t>
      </w:r>
      <w:r w:rsidR="000B0740" w:rsidRPr="005A4B27">
        <w:rPr>
          <w:lang w:val="es-CO"/>
        </w:rPr>
        <w:t>es como</w:t>
      </w:r>
      <w:r w:rsidR="00AF0F45">
        <w:rPr>
          <w:lang w:val="es-CO"/>
        </w:rPr>
        <w:t xml:space="preserve"> </w:t>
      </w:r>
      <w:r w:rsidR="00AF0F45" w:rsidRPr="00BE502B">
        <w:rPr>
          <w:lang w:val="es-CO"/>
        </w:rPr>
        <w:t>la de</w:t>
      </w:r>
      <w:r w:rsidR="00AF0F45">
        <w:rPr>
          <w:lang w:val="es-CO"/>
        </w:rPr>
        <w:t xml:space="preserve"> Parkinson,</w:t>
      </w:r>
      <w:r w:rsidR="00AF4B74" w:rsidRPr="005A4B27">
        <w:rPr>
          <w:lang w:val="es-CO"/>
        </w:rPr>
        <w:t xml:space="preserve"> </w:t>
      </w:r>
      <w:r w:rsidR="00AF0F45" w:rsidRPr="00BE502B">
        <w:rPr>
          <w:lang w:val="es-CO"/>
        </w:rPr>
        <w:t>la</w:t>
      </w:r>
      <w:r w:rsidR="00AF0F45">
        <w:rPr>
          <w:lang w:val="es-CO"/>
        </w:rPr>
        <w:t xml:space="preserve"> </w:t>
      </w:r>
      <w:r w:rsidR="00BE502B">
        <w:rPr>
          <w:lang w:val="es-CO"/>
        </w:rPr>
        <w:t xml:space="preserve">enfermedad de Huntington, </w:t>
      </w:r>
      <w:r w:rsidR="00DC04F2" w:rsidRPr="005A4B27">
        <w:rPr>
          <w:lang w:val="es-CO"/>
        </w:rPr>
        <w:t>e</w:t>
      </w:r>
      <w:r w:rsidR="00AF4B74" w:rsidRPr="005A4B27">
        <w:rPr>
          <w:lang w:val="es-CO"/>
        </w:rPr>
        <w:t xml:space="preserve">sclerosis </w:t>
      </w:r>
      <w:r w:rsidR="00E74557" w:rsidRPr="005A4B27">
        <w:rPr>
          <w:lang w:val="es-CO"/>
        </w:rPr>
        <w:t>múltiple</w:t>
      </w:r>
      <w:r w:rsidR="000B0740" w:rsidRPr="005A4B27">
        <w:rPr>
          <w:lang w:val="es-CO"/>
        </w:rPr>
        <w:t>,</w:t>
      </w:r>
      <w:r w:rsidR="00AF4B74" w:rsidRPr="005A4B27">
        <w:rPr>
          <w:lang w:val="es-CO"/>
        </w:rPr>
        <w:t xml:space="preserve"> esclerosis lateral amiotrófica (ALS</w:t>
      </w:r>
      <w:r w:rsidR="00DC04F2" w:rsidRPr="005A4B27">
        <w:rPr>
          <w:lang w:val="es-CO"/>
        </w:rPr>
        <w:t xml:space="preserve"> –</w:t>
      </w:r>
      <w:r w:rsidR="00AF4B74" w:rsidRPr="005A4B27">
        <w:rPr>
          <w:lang w:val="es-CO"/>
        </w:rPr>
        <w:t xml:space="preserve"> </w:t>
      </w:r>
      <w:r w:rsidR="00DC04F2" w:rsidRPr="005A4B27">
        <w:rPr>
          <w:i/>
          <w:lang w:val="es-CO"/>
        </w:rPr>
        <w:t>amiotrophic lateral sclerosis</w:t>
      </w:r>
      <w:r w:rsidR="00DC04F2" w:rsidRPr="005A4B27">
        <w:rPr>
          <w:lang w:val="es-CO"/>
        </w:rPr>
        <w:t xml:space="preserve"> </w:t>
      </w:r>
      <w:r w:rsidR="00AF4B74" w:rsidRPr="005A4B27">
        <w:rPr>
          <w:lang w:val="es-CO"/>
        </w:rPr>
        <w:t>o enfermedad de Lou Gehrig), epilepsia resistente a medicamentos, diabetes tipo I</w:t>
      </w:r>
      <w:r w:rsidR="001F090F">
        <w:rPr>
          <w:lang w:val="es-CO"/>
        </w:rPr>
        <w:t xml:space="preserve"> </w:t>
      </w:r>
      <w:r w:rsidR="000B0740" w:rsidRPr="00703095">
        <w:rPr>
          <w:lang w:val="es-CO"/>
        </w:rPr>
        <w:t>incontrolable</w:t>
      </w:r>
      <w:r w:rsidR="00AF4B74" w:rsidRPr="005A4B27">
        <w:rPr>
          <w:lang w:val="es-CO"/>
        </w:rPr>
        <w:t xml:space="preserve"> y diabetes tipo II, </w:t>
      </w:r>
      <w:r w:rsidR="00524C6B" w:rsidRPr="005A4B27">
        <w:rPr>
          <w:lang w:val="es-CO"/>
        </w:rPr>
        <w:t xml:space="preserve">cuando </w:t>
      </w:r>
      <w:r w:rsidR="000B0740" w:rsidRPr="00703095">
        <w:rPr>
          <w:lang w:val="es-CO"/>
        </w:rPr>
        <w:t>existe</w:t>
      </w:r>
      <w:r w:rsidR="000B0740" w:rsidRPr="00AF0F45">
        <w:rPr>
          <w:lang w:val="es-CO"/>
        </w:rPr>
        <w:t xml:space="preserve"> una</w:t>
      </w:r>
      <w:r w:rsidR="00524C6B" w:rsidRPr="005A4B27">
        <w:rPr>
          <w:lang w:val="es-CO"/>
        </w:rPr>
        <w:t xml:space="preserve"> </w:t>
      </w:r>
      <w:r w:rsidR="00DC04F2" w:rsidRPr="005A4B27">
        <w:rPr>
          <w:lang w:val="es-CO"/>
        </w:rPr>
        <w:t>resisten</w:t>
      </w:r>
      <w:r w:rsidR="00524C6B" w:rsidRPr="005A4B27">
        <w:rPr>
          <w:lang w:val="es-CO"/>
        </w:rPr>
        <w:t>cia</w:t>
      </w:r>
      <w:r w:rsidR="000E6694" w:rsidRPr="005A4B27">
        <w:rPr>
          <w:lang w:val="es-CO"/>
        </w:rPr>
        <w:t xml:space="preserve"> a la insulin</w:t>
      </w:r>
      <w:r w:rsidR="00DC04F2" w:rsidRPr="005A4B27">
        <w:rPr>
          <w:lang w:val="es-CO"/>
        </w:rPr>
        <w:t>a</w:t>
      </w:r>
      <w:r w:rsidR="000E6694" w:rsidRPr="005A4B27">
        <w:rPr>
          <w:lang w:val="es-CO"/>
        </w:rPr>
        <w:t xml:space="preserve">. </w:t>
      </w:r>
      <w:r w:rsidR="00AF4B74" w:rsidRPr="005A4B27">
        <w:rPr>
          <w:lang w:val="es-CO"/>
        </w:rPr>
        <w:t xml:space="preserve">Las cetonas pueden ayudar al cerebro </w:t>
      </w:r>
      <w:r w:rsidR="00427248" w:rsidRPr="005A4B27">
        <w:rPr>
          <w:lang w:val="es-CO"/>
        </w:rPr>
        <w:t xml:space="preserve">de recién nacidos y adultos </w:t>
      </w:r>
      <w:r w:rsidR="00AF4B74" w:rsidRPr="005A4B27">
        <w:rPr>
          <w:lang w:val="es-CO"/>
        </w:rPr>
        <w:t xml:space="preserve">a recuperarse después de </w:t>
      </w:r>
      <w:r w:rsidR="005028BD" w:rsidRPr="005A4B27">
        <w:rPr>
          <w:lang w:val="es-CO"/>
        </w:rPr>
        <w:t xml:space="preserve">haber sufrido </w:t>
      </w:r>
      <w:r w:rsidR="00AF4B74" w:rsidRPr="005A4B27">
        <w:rPr>
          <w:lang w:val="es-CO"/>
        </w:rPr>
        <w:t xml:space="preserve">una </w:t>
      </w:r>
      <w:r w:rsidR="005028BD" w:rsidRPr="005A4B27">
        <w:rPr>
          <w:lang w:val="es-CO"/>
        </w:rPr>
        <w:t>falt</w:t>
      </w:r>
      <w:r w:rsidR="00AF4B74" w:rsidRPr="005A4B27">
        <w:rPr>
          <w:lang w:val="es-CO"/>
        </w:rPr>
        <w:t>a de oxígeno</w:t>
      </w:r>
      <w:r w:rsidR="00427248" w:rsidRPr="005A4B27">
        <w:rPr>
          <w:lang w:val="es-CO"/>
        </w:rPr>
        <w:t xml:space="preserve">, pueden ayudar al corazón a recuperarse después de </w:t>
      </w:r>
      <w:r w:rsidR="00DC04F2" w:rsidRPr="005A4B27">
        <w:rPr>
          <w:lang w:val="es-CO"/>
        </w:rPr>
        <w:t>haber sufrido</w:t>
      </w:r>
      <w:r w:rsidR="00427248" w:rsidRPr="005A4B27">
        <w:rPr>
          <w:lang w:val="es-CO"/>
        </w:rPr>
        <w:t xml:space="preserve"> un ataque agudo, y pueden </w:t>
      </w:r>
      <w:r w:rsidR="000E6694" w:rsidRPr="005A4B27">
        <w:rPr>
          <w:lang w:val="es-CO"/>
        </w:rPr>
        <w:t>reduci</w:t>
      </w:r>
      <w:r w:rsidR="00427248" w:rsidRPr="005A4B27">
        <w:rPr>
          <w:lang w:val="es-CO"/>
        </w:rPr>
        <w:t>r tumor</w:t>
      </w:r>
      <w:r w:rsidR="000E6694" w:rsidRPr="005A4B27">
        <w:rPr>
          <w:lang w:val="es-CO"/>
        </w:rPr>
        <w:t>e</w:t>
      </w:r>
      <w:r w:rsidR="00427248" w:rsidRPr="005A4B27">
        <w:rPr>
          <w:lang w:val="es-CO"/>
        </w:rPr>
        <w:t xml:space="preserve">s cancerosos. Los niños con epilepsia resistente a medicamentos a veces responden a una dieta cetogénica extremadamente baja en carbohidratos. El aceite </w:t>
      </w:r>
      <w:r w:rsidR="00B37ECE" w:rsidRPr="005A4B27">
        <w:rPr>
          <w:lang w:val="es-CO"/>
        </w:rPr>
        <w:t xml:space="preserve">de </w:t>
      </w:r>
      <w:r w:rsidR="006A1260" w:rsidRPr="005A4B27">
        <w:rPr>
          <w:lang w:val="es-CO"/>
        </w:rPr>
        <w:t>TCM</w:t>
      </w:r>
      <w:r w:rsidR="00427248" w:rsidRPr="005A4B27">
        <w:rPr>
          <w:lang w:val="es-CO"/>
        </w:rPr>
        <w:t xml:space="preserve"> parece ser útil como ayuda para perder peso y ya los fisiculturistas lo usan para aumentar su masa corporal magra (el aceite </w:t>
      </w:r>
      <w:r w:rsidR="00B37ECE" w:rsidRPr="005A4B27">
        <w:rPr>
          <w:lang w:val="es-CO"/>
        </w:rPr>
        <w:t xml:space="preserve">de </w:t>
      </w:r>
      <w:r w:rsidR="006A1260" w:rsidRPr="005A4B27">
        <w:rPr>
          <w:lang w:val="es-CO"/>
        </w:rPr>
        <w:t>TCM</w:t>
      </w:r>
      <w:r w:rsidR="00427248" w:rsidRPr="005A4B27">
        <w:rPr>
          <w:lang w:val="es-CO"/>
        </w:rPr>
        <w:t xml:space="preserve"> se compra fácilmente por internet). Los atletas y los soldados pueden usar el aceite </w:t>
      </w:r>
      <w:r w:rsidR="00B37ECE" w:rsidRPr="005A4B27">
        <w:rPr>
          <w:lang w:val="es-CO"/>
        </w:rPr>
        <w:t xml:space="preserve">de </w:t>
      </w:r>
      <w:r w:rsidR="006A1260" w:rsidRPr="005A4B27">
        <w:rPr>
          <w:lang w:val="es-CO"/>
        </w:rPr>
        <w:t>TCM</w:t>
      </w:r>
      <w:r w:rsidR="00427248" w:rsidRPr="005A4B27">
        <w:rPr>
          <w:lang w:val="es-CO"/>
        </w:rPr>
        <w:t xml:space="preserve"> como fuente de combustible cuando el cuerpo se queda sin carbohidratos, lo que ocurre muy rápidamente si </w:t>
      </w:r>
      <w:r w:rsidR="00DC04F2" w:rsidRPr="005A4B27">
        <w:rPr>
          <w:lang w:val="es-CO"/>
        </w:rPr>
        <w:t>hay dificultades para conseguir alimento</w:t>
      </w:r>
      <w:r w:rsidR="000B0740" w:rsidRPr="005A4B27">
        <w:rPr>
          <w:lang w:val="es-CO"/>
        </w:rPr>
        <w:t>s</w:t>
      </w:r>
      <w:r w:rsidR="00DC04F2" w:rsidRPr="005A4B27">
        <w:rPr>
          <w:lang w:val="es-CO"/>
        </w:rPr>
        <w:t>.</w:t>
      </w:r>
    </w:p>
    <w:p w:rsidR="00427248" w:rsidRPr="005A4B27" w:rsidRDefault="00427248" w:rsidP="00396753">
      <w:pPr>
        <w:jc w:val="both"/>
        <w:rPr>
          <w:lang w:val="es-CO"/>
        </w:rPr>
      </w:pPr>
      <w:r w:rsidRPr="005A4B27">
        <w:rPr>
          <w:lang w:val="es-CO"/>
        </w:rPr>
        <w:tab/>
        <w:t xml:space="preserve">¿Qué </w:t>
      </w:r>
      <w:r w:rsidR="00AF0F45" w:rsidRPr="00703095">
        <w:rPr>
          <w:lang w:val="es-CO"/>
        </w:rPr>
        <w:t>tienen</w:t>
      </w:r>
      <w:r w:rsidR="00AF0F45">
        <w:rPr>
          <w:lang w:val="es-CO"/>
        </w:rPr>
        <w:t xml:space="preserve"> </w:t>
      </w:r>
      <w:r w:rsidRPr="005A4B27">
        <w:rPr>
          <w:lang w:val="es-CO"/>
        </w:rPr>
        <w:t xml:space="preserve">en común todas estas </w:t>
      </w:r>
      <w:r w:rsidR="00E92145" w:rsidRPr="005A4B27">
        <w:rPr>
          <w:lang w:val="es-CO"/>
        </w:rPr>
        <w:t>situacione</w:t>
      </w:r>
      <w:r w:rsidRPr="005A4B27">
        <w:rPr>
          <w:lang w:val="es-CO"/>
        </w:rPr>
        <w:t>s? Nuestras células pueden usar las cetonas como combustible alterno cuando no hay glucos</w:t>
      </w:r>
      <w:r w:rsidR="00DC04F2" w:rsidRPr="005A4B27">
        <w:rPr>
          <w:lang w:val="es-CO"/>
        </w:rPr>
        <w:t>a</w:t>
      </w:r>
      <w:r w:rsidRPr="005A4B27">
        <w:rPr>
          <w:lang w:val="es-CO"/>
        </w:rPr>
        <w:t xml:space="preserve"> disponible. Las células del cerebro, específicamente las neuronas, están muy limitadas, más limitadas que otras células</w:t>
      </w:r>
      <w:r w:rsidR="000E6694" w:rsidRPr="005A4B27">
        <w:rPr>
          <w:lang w:val="es-CO"/>
        </w:rPr>
        <w:t>, en cuanto a los tipos de combustible que pueden usar para funcionar y mantenerse vivas. Normalmente, requieren glucosa (azúcar), pero también pueden usar cetonas.</w:t>
      </w:r>
      <w:r w:rsidR="00DC04F2" w:rsidRPr="005A4B27">
        <w:rPr>
          <w:lang w:val="es-CO"/>
        </w:rPr>
        <w:t xml:space="preserve"> </w:t>
      </w:r>
      <w:r w:rsidR="00E92145" w:rsidRPr="005A4B27">
        <w:rPr>
          <w:lang w:val="es-CO"/>
        </w:rPr>
        <w:t xml:space="preserve">Comúnmente, los seres humanos no tienen cetonas </w:t>
      </w:r>
      <w:r w:rsidR="00A37B9E" w:rsidRPr="00A37B9E">
        <w:rPr>
          <w:lang w:val="es-CO"/>
        </w:rPr>
        <w:t>en circulación</w:t>
      </w:r>
      <w:r w:rsidR="00A37B9E" w:rsidRPr="005A4B27">
        <w:rPr>
          <w:lang w:val="es-CO"/>
        </w:rPr>
        <w:t xml:space="preserve"> </w:t>
      </w:r>
      <w:r w:rsidR="00E92145" w:rsidRPr="005A4B27">
        <w:rPr>
          <w:lang w:val="es-CO"/>
        </w:rPr>
        <w:t xml:space="preserve">que el cerebro pueda </w:t>
      </w:r>
      <w:r w:rsidR="00E74557" w:rsidRPr="005A4B27">
        <w:rPr>
          <w:lang w:val="es-CO"/>
        </w:rPr>
        <w:t>utilizar</w:t>
      </w:r>
      <w:r w:rsidR="00E92145" w:rsidRPr="005A4B27">
        <w:rPr>
          <w:lang w:val="es-CO"/>
        </w:rPr>
        <w:t xml:space="preserve"> a menos que hayan estado privados de alimento durante dos o </w:t>
      </w:r>
      <w:r w:rsidR="00E92145" w:rsidRPr="005A4B27">
        <w:rPr>
          <w:lang w:val="es-CO"/>
        </w:rPr>
        <w:lastRenderedPageBreak/>
        <w:t xml:space="preserve">más días o estén sometidos a una dieta cetogénica (muy baja en carbohidratos), como la dieta Atkins. En la enfermedad de Alzheimer, las neuronas de ciertas </w:t>
      </w:r>
      <w:r w:rsidR="00524C6B" w:rsidRPr="005A4B27">
        <w:rPr>
          <w:lang w:val="es-CO"/>
        </w:rPr>
        <w:t>zon</w:t>
      </w:r>
      <w:r w:rsidR="00E92145" w:rsidRPr="005A4B27">
        <w:rPr>
          <w:lang w:val="es-CO"/>
        </w:rPr>
        <w:t>as del cerebro no pueden asimilar la glucosa</w:t>
      </w:r>
      <w:r w:rsidR="00E92145" w:rsidRPr="005A4B27">
        <w:rPr>
          <w:vertAlign w:val="superscript"/>
          <w:lang w:val="es-CO"/>
        </w:rPr>
        <w:t>4,5</w:t>
      </w:r>
      <w:r w:rsidR="00E92145" w:rsidRPr="005A4B27">
        <w:rPr>
          <w:lang w:val="es-CO"/>
        </w:rPr>
        <w:t xml:space="preserve"> debido a </w:t>
      </w:r>
      <w:r w:rsidR="0076105D" w:rsidRPr="003D17FC">
        <w:rPr>
          <w:lang w:val="es-CO"/>
        </w:rPr>
        <w:t>una</w:t>
      </w:r>
      <w:r w:rsidR="00E92145" w:rsidRPr="003D17FC">
        <w:rPr>
          <w:lang w:val="es-CO"/>
        </w:rPr>
        <w:t xml:space="preserve"> </w:t>
      </w:r>
      <w:r w:rsidR="00B37ECE" w:rsidRPr="003D17FC">
        <w:rPr>
          <w:lang w:val="es-CO"/>
        </w:rPr>
        <w:t>r</w:t>
      </w:r>
      <w:r w:rsidR="00E92145" w:rsidRPr="003D17FC">
        <w:rPr>
          <w:lang w:val="es-CO"/>
        </w:rPr>
        <w:t xml:space="preserve">esistencia </w:t>
      </w:r>
      <w:r w:rsidR="0076105D" w:rsidRPr="003D17FC">
        <w:rPr>
          <w:lang w:val="es-CO"/>
        </w:rPr>
        <w:t>a</w:t>
      </w:r>
      <w:r w:rsidR="00E92145" w:rsidRPr="003D17FC">
        <w:rPr>
          <w:lang w:val="es-CO"/>
        </w:rPr>
        <w:t xml:space="preserve"> la </w:t>
      </w:r>
      <w:r w:rsidR="00E74557" w:rsidRPr="003D17FC">
        <w:rPr>
          <w:lang w:val="es-CO"/>
        </w:rPr>
        <w:t>insulina</w:t>
      </w:r>
      <w:r w:rsidR="00E92145" w:rsidRPr="005A4B27">
        <w:rPr>
          <w:lang w:val="es-CO"/>
        </w:rPr>
        <w:t xml:space="preserve"> y van muriendo lentamente en un proceso que parece iniciarse una o má</w:t>
      </w:r>
      <w:r w:rsidR="0076105D" w:rsidRPr="005A4B27">
        <w:rPr>
          <w:lang w:val="es-CO"/>
        </w:rPr>
        <w:t xml:space="preserve">s décadas antes de que </w:t>
      </w:r>
      <w:r w:rsidR="00E92145" w:rsidRPr="005A4B27">
        <w:rPr>
          <w:lang w:val="es-CO"/>
        </w:rPr>
        <w:t xml:space="preserve"> los síntomas</w:t>
      </w:r>
      <w:r w:rsidR="0076105D" w:rsidRPr="005A4B27">
        <w:rPr>
          <w:lang w:val="es-CO"/>
        </w:rPr>
        <w:t xml:space="preserve"> </w:t>
      </w:r>
      <w:r w:rsidR="0076105D" w:rsidRPr="003D17FC">
        <w:rPr>
          <w:lang w:val="es-CO"/>
        </w:rPr>
        <w:t>sean aparentes</w:t>
      </w:r>
      <w:r w:rsidR="00E92145" w:rsidRPr="005A4B27">
        <w:rPr>
          <w:lang w:val="es-CO"/>
        </w:rPr>
        <w:t>. Si estas células tuvieran acceso a las cetonas, posiblemente se mantendrían vivas y seguirían funcionando. Parece ser que las personas que padecen la enfermedad de Parkinson,</w:t>
      </w:r>
      <w:r w:rsidR="00E92145" w:rsidRPr="005A4B27">
        <w:rPr>
          <w:vertAlign w:val="superscript"/>
          <w:lang w:val="es-CO"/>
        </w:rPr>
        <w:t>6</w:t>
      </w:r>
      <w:r w:rsidR="00E92145" w:rsidRPr="005A4B27">
        <w:rPr>
          <w:lang w:val="es-CO"/>
        </w:rPr>
        <w:t xml:space="preserve"> la enfermedad de Huntington,</w:t>
      </w:r>
      <w:r w:rsidR="00E92145" w:rsidRPr="005A4B27">
        <w:rPr>
          <w:vertAlign w:val="superscript"/>
          <w:lang w:val="es-CO"/>
        </w:rPr>
        <w:t>7</w:t>
      </w:r>
      <w:r w:rsidR="00E92145" w:rsidRPr="005A4B27">
        <w:rPr>
          <w:lang w:val="es-CO"/>
        </w:rPr>
        <w:t xml:space="preserve"> </w:t>
      </w:r>
      <w:r w:rsidR="00AE409A" w:rsidRPr="005A4B27">
        <w:rPr>
          <w:lang w:val="es-CO"/>
        </w:rPr>
        <w:t xml:space="preserve">la </w:t>
      </w:r>
      <w:r w:rsidR="00E25E12" w:rsidRPr="005A4B27">
        <w:rPr>
          <w:lang w:val="es-CO"/>
        </w:rPr>
        <w:t xml:space="preserve">esclerosis </w:t>
      </w:r>
      <w:r w:rsidR="00E74557" w:rsidRPr="005A4B27">
        <w:rPr>
          <w:lang w:val="es-CO"/>
        </w:rPr>
        <w:t>múltiple</w:t>
      </w:r>
      <w:r w:rsidR="00E25E12" w:rsidRPr="005A4B27">
        <w:rPr>
          <w:lang w:val="es-CO"/>
        </w:rPr>
        <w:t xml:space="preserve"> y </w:t>
      </w:r>
      <w:r w:rsidR="00AE409A" w:rsidRPr="005A4B27">
        <w:rPr>
          <w:lang w:val="es-CO"/>
        </w:rPr>
        <w:t xml:space="preserve">el </w:t>
      </w:r>
      <w:r w:rsidR="00E25E12" w:rsidRPr="005A4B27">
        <w:rPr>
          <w:lang w:val="es-CO"/>
        </w:rPr>
        <w:t>ALS</w:t>
      </w:r>
      <w:r w:rsidR="00E25E12" w:rsidRPr="005A4B27">
        <w:rPr>
          <w:vertAlign w:val="superscript"/>
          <w:lang w:val="es-CO"/>
        </w:rPr>
        <w:t>9</w:t>
      </w:r>
      <w:r w:rsidR="00E25E12" w:rsidRPr="005A4B27">
        <w:rPr>
          <w:lang w:val="es-CO"/>
        </w:rPr>
        <w:t xml:space="preserve"> presentan un defecto similar en </w:t>
      </w:r>
      <w:r w:rsidR="0076105D" w:rsidRPr="005A4B27">
        <w:rPr>
          <w:lang w:val="es-CO"/>
        </w:rPr>
        <w:t xml:space="preserve">la </w:t>
      </w:r>
      <w:r w:rsidR="00A37B9E" w:rsidRPr="003D17FC">
        <w:rPr>
          <w:lang w:val="es-CO"/>
        </w:rPr>
        <w:t>absorción</w:t>
      </w:r>
      <w:r w:rsidR="00A37B9E">
        <w:rPr>
          <w:lang w:val="es-CO"/>
        </w:rPr>
        <w:t xml:space="preserve"> </w:t>
      </w:r>
      <w:r w:rsidR="00E25E12" w:rsidRPr="005A4B27">
        <w:rPr>
          <w:lang w:val="es-CO"/>
        </w:rPr>
        <w:t xml:space="preserve">de la glucosa, pero en distintas zonas del cerebro o </w:t>
      </w:r>
      <w:r w:rsidR="00AE409A" w:rsidRPr="005A4B27">
        <w:rPr>
          <w:lang w:val="es-CO"/>
        </w:rPr>
        <w:t xml:space="preserve">de </w:t>
      </w:r>
      <w:r w:rsidR="00E25E12" w:rsidRPr="005A4B27">
        <w:rPr>
          <w:lang w:val="es-CO"/>
        </w:rPr>
        <w:t>la médula espinal.</w:t>
      </w:r>
    </w:p>
    <w:p w:rsidR="00AE409A" w:rsidRPr="005A4B27" w:rsidRDefault="00AE409A" w:rsidP="00396753">
      <w:pPr>
        <w:jc w:val="both"/>
        <w:rPr>
          <w:vertAlign w:val="superscript"/>
          <w:lang w:val="es-CO"/>
        </w:rPr>
      </w:pPr>
      <w:r w:rsidRPr="005A4B27">
        <w:rPr>
          <w:lang w:val="es-CO"/>
        </w:rPr>
        <w:tab/>
        <w:t xml:space="preserve">El cuerpo digiere el aceite </w:t>
      </w:r>
      <w:r w:rsidR="00B37ECE" w:rsidRPr="005A4B27">
        <w:rPr>
          <w:lang w:val="es-CO"/>
        </w:rPr>
        <w:t xml:space="preserve">de </w:t>
      </w:r>
      <w:r w:rsidR="006A1260" w:rsidRPr="005A4B27">
        <w:rPr>
          <w:lang w:val="es-CO"/>
        </w:rPr>
        <w:t>TCM</w:t>
      </w:r>
      <w:r w:rsidRPr="005A4B27">
        <w:rPr>
          <w:lang w:val="es-CO"/>
        </w:rPr>
        <w:t xml:space="preserve"> en forma diferente a </w:t>
      </w:r>
      <w:r w:rsidR="00524C6B" w:rsidRPr="005A4B27">
        <w:rPr>
          <w:lang w:val="es-CO"/>
        </w:rPr>
        <w:t xml:space="preserve">como digiere </w:t>
      </w:r>
      <w:r w:rsidRPr="005A4B27">
        <w:rPr>
          <w:lang w:val="es-CO"/>
        </w:rPr>
        <w:t xml:space="preserve">otras grasas. En lugar de almacenar todo el </w:t>
      </w:r>
      <w:r w:rsidR="006A1260" w:rsidRPr="005A4B27">
        <w:rPr>
          <w:lang w:val="es-CO"/>
        </w:rPr>
        <w:t>TCM</w:t>
      </w:r>
      <w:r w:rsidRPr="005A4B27">
        <w:rPr>
          <w:lang w:val="es-CO"/>
        </w:rPr>
        <w:t xml:space="preserve"> como grasa, el hígado lo convierte </w:t>
      </w:r>
      <w:r w:rsidR="009B16C0" w:rsidRPr="005A4B27">
        <w:rPr>
          <w:lang w:val="es-CO"/>
        </w:rPr>
        <w:t xml:space="preserve">directamente en cetonas, que así quedan disponibles para ser usadas como energía. Si se administra el aceite </w:t>
      </w:r>
      <w:r w:rsidR="00B37ECE" w:rsidRPr="005A4B27">
        <w:rPr>
          <w:lang w:val="es-CO"/>
        </w:rPr>
        <w:t xml:space="preserve">de </w:t>
      </w:r>
      <w:r w:rsidR="006A1260" w:rsidRPr="005A4B27">
        <w:rPr>
          <w:lang w:val="es-CO"/>
        </w:rPr>
        <w:t>TCM</w:t>
      </w:r>
      <w:r w:rsidR="009B16C0" w:rsidRPr="005A4B27">
        <w:rPr>
          <w:lang w:val="es-CO"/>
        </w:rPr>
        <w:t xml:space="preserve"> por vía oral o intravenosa, produce hipercetonemia,</w:t>
      </w:r>
      <w:r w:rsidR="009B16C0" w:rsidRPr="005A4B27">
        <w:rPr>
          <w:vertAlign w:val="superscript"/>
          <w:lang w:val="es-CO"/>
        </w:rPr>
        <w:t>10</w:t>
      </w:r>
      <w:r w:rsidR="009B16C0" w:rsidRPr="005A4B27">
        <w:rPr>
          <w:lang w:val="es-CO"/>
        </w:rPr>
        <w:t xml:space="preserve"> o </w:t>
      </w:r>
      <w:r w:rsidR="00F259B0" w:rsidRPr="005A4B27">
        <w:rPr>
          <w:lang w:val="es-CO"/>
        </w:rPr>
        <w:t xml:space="preserve">sea </w:t>
      </w:r>
      <w:r w:rsidR="009B16C0" w:rsidRPr="005A4B27">
        <w:rPr>
          <w:lang w:val="es-CO"/>
        </w:rPr>
        <w:t>cetonas en circulación, que quedan a disposición del cerebro para obtener energía cuando no hay glucosa</w:t>
      </w:r>
      <w:r w:rsidR="009B16C0" w:rsidRPr="005A4B27">
        <w:rPr>
          <w:vertAlign w:val="superscript"/>
          <w:lang w:val="es-CO"/>
        </w:rPr>
        <w:t>1</w:t>
      </w:r>
      <w:r w:rsidR="00524C6B" w:rsidRPr="005A4B27">
        <w:rPr>
          <w:vertAlign w:val="superscript"/>
          <w:lang w:val="es-CO"/>
        </w:rPr>
        <w:t>9</w:t>
      </w:r>
      <w:r w:rsidR="009B16C0" w:rsidRPr="005A4B27">
        <w:rPr>
          <w:lang w:val="es-CO"/>
        </w:rPr>
        <w:t xml:space="preserve"> y aún en presencia de glucosa.</w:t>
      </w:r>
      <w:r w:rsidR="00524C6B" w:rsidRPr="005A4B27">
        <w:rPr>
          <w:vertAlign w:val="superscript"/>
          <w:lang w:val="es-CO"/>
        </w:rPr>
        <w:t>2</w:t>
      </w:r>
      <w:r w:rsidR="009B16C0" w:rsidRPr="005A4B27">
        <w:rPr>
          <w:vertAlign w:val="superscript"/>
          <w:lang w:val="es-CO"/>
        </w:rPr>
        <w:t>2</w:t>
      </w:r>
      <w:r w:rsidR="009B16C0" w:rsidRPr="005A4B27">
        <w:rPr>
          <w:lang w:val="es-CO"/>
        </w:rPr>
        <w:t xml:space="preserve"> Por otra parte, la hipercetonemia produce un aumento sustancial (39%) del flujo sanguíneo en el cerebro,</w:t>
      </w:r>
      <w:r w:rsidR="009B16C0" w:rsidRPr="005A4B27">
        <w:rPr>
          <w:vertAlign w:val="superscript"/>
          <w:lang w:val="es-CO"/>
        </w:rPr>
        <w:t>1</w:t>
      </w:r>
      <w:r w:rsidR="00524C6B" w:rsidRPr="005A4B27">
        <w:rPr>
          <w:vertAlign w:val="superscript"/>
          <w:lang w:val="es-CO"/>
        </w:rPr>
        <w:t>8</w:t>
      </w:r>
      <w:r w:rsidR="009B16C0" w:rsidRPr="005A4B27">
        <w:rPr>
          <w:lang w:val="es-CO"/>
        </w:rPr>
        <w:t xml:space="preserve"> y parece </w:t>
      </w:r>
      <w:r w:rsidR="00FE1675" w:rsidRPr="005A4B27">
        <w:rPr>
          <w:lang w:val="es-CO"/>
        </w:rPr>
        <w:t>reduci</w:t>
      </w:r>
      <w:r w:rsidR="009B16C0" w:rsidRPr="005A4B27">
        <w:rPr>
          <w:lang w:val="es-CO"/>
        </w:rPr>
        <w:t>r la disfunción cognitiv</w:t>
      </w:r>
      <w:r w:rsidR="00FE1675" w:rsidRPr="005A4B27">
        <w:rPr>
          <w:lang w:val="es-CO"/>
        </w:rPr>
        <w:t>a</w:t>
      </w:r>
      <w:r w:rsidR="009B16C0" w:rsidRPr="005A4B27">
        <w:rPr>
          <w:lang w:val="es-CO"/>
        </w:rPr>
        <w:t xml:space="preserve"> asociada a la hipoglicemia sistémica en seres humanos normales.</w:t>
      </w:r>
      <w:r w:rsidR="00524C6B" w:rsidRPr="005A4B27">
        <w:rPr>
          <w:vertAlign w:val="superscript"/>
          <w:lang w:val="es-CO"/>
        </w:rPr>
        <w:t>19</w:t>
      </w:r>
    </w:p>
    <w:p w:rsidR="00FE1675" w:rsidRPr="005A4B27" w:rsidRDefault="00FE1675" w:rsidP="00396753">
      <w:pPr>
        <w:jc w:val="both"/>
        <w:rPr>
          <w:lang w:val="es-CO"/>
        </w:rPr>
      </w:pPr>
      <w:r w:rsidRPr="005A4B27">
        <w:rPr>
          <w:lang w:val="es-CO"/>
        </w:rPr>
        <w:tab/>
        <w:t xml:space="preserve">Hace unos dos meses, </w:t>
      </w:r>
      <w:r w:rsidR="006F3B8F" w:rsidRPr="003D17FC">
        <w:rPr>
          <w:lang w:val="es-CO"/>
        </w:rPr>
        <w:t>visitamos con</w:t>
      </w:r>
      <w:r w:rsidR="00A37B9E" w:rsidRPr="003D17FC">
        <w:rPr>
          <w:lang w:val="es-CO"/>
        </w:rPr>
        <w:t xml:space="preserve"> </w:t>
      </w:r>
      <w:r w:rsidR="00741C3D" w:rsidRPr="003D17FC">
        <w:rPr>
          <w:lang w:val="es-CO"/>
        </w:rPr>
        <w:t>Steve</w:t>
      </w:r>
      <w:r w:rsidR="006F3B8F" w:rsidRPr="003D17FC">
        <w:rPr>
          <w:lang w:val="es-CO"/>
        </w:rPr>
        <w:t xml:space="preserve"> e</w:t>
      </w:r>
      <w:r w:rsidR="00A37B9E" w:rsidRPr="003D17FC">
        <w:rPr>
          <w:lang w:val="es-CO"/>
        </w:rPr>
        <w:t>l</w:t>
      </w:r>
      <w:r w:rsidR="00741C3D" w:rsidRPr="005A4B27">
        <w:rPr>
          <w:lang w:val="es-CO"/>
        </w:rPr>
        <w:t xml:space="preserve"> </w:t>
      </w:r>
      <w:r w:rsidRPr="005A4B27">
        <w:rPr>
          <w:lang w:val="es-CO"/>
        </w:rPr>
        <w:t xml:space="preserve">Johnny Byrd Jr. Alzheimer’s Institute de la Universidad de South Florida (USF) en Tampa, Florida para una evaluación anual y la </w:t>
      </w:r>
      <w:r w:rsidR="007306C3" w:rsidRPr="005A4B27">
        <w:rPr>
          <w:lang w:val="es-CO"/>
        </w:rPr>
        <w:t>selección de participantes en</w:t>
      </w:r>
      <w:r w:rsidRPr="005A4B27">
        <w:rPr>
          <w:lang w:val="es-CO"/>
        </w:rPr>
        <w:t xml:space="preserve"> el estudio de una vacuna: Elan. En ese momento, Steve </w:t>
      </w:r>
      <w:r w:rsidR="00741C3D" w:rsidRPr="003D17FC">
        <w:rPr>
          <w:lang w:val="es-CO"/>
        </w:rPr>
        <w:t>estaba en ayunas</w:t>
      </w:r>
      <w:r w:rsidRPr="003D17FC">
        <w:rPr>
          <w:lang w:val="es-CO"/>
        </w:rPr>
        <w:t xml:space="preserve"> </w:t>
      </w:r>
      <w:r w:rsidRPr="005A4B27">
        <w:rPr>
          <w:lang w:val="es-CO"/>
        </w:rPr>
        <w:t xml:space="preserve">y su puntaje del MMSE fue 12, demasiado bajo para participar en el estudio ‒para el cual se requería un puntaje mínimo de 16. </w:t>
      </w:r>
      <w:r w:rsidR="00741C3D" w:rsidRPr="003D17FC">
        <w:rPr>
          <w:lang w:val="es-CO"/>
        </w:rPr>
        <w:t>Esto nos decepcion</w:t>
      </w:r>
      <w:r w:rsidR="00A37B9E" w:rsidRPr="003D17FC">
        <w:rPr>
          <w:lang w:val="es-CO"/>
        </w:rPr>
        <w:t>ó</w:t>
      </w:r>
      <w:r w:rsidRPr="003D17FC">
        <w:rPr>
          <w:lang w:val="es-CO"/>
        </w:rPr>
        <w:t xml:space="preserve">, pero dado que cumplíamos con los demás </w:t>
      </w:r>
      <w:r w:rsidR="007306C3" w:rsidRPr="003D17FC">
        <w:rPr>
          <w:lang w:val="es-CO"/>
        </w:rPr>
        <w:t>requisito</w:t>
      </w:r>
      <w:r w:rsidRPr="003D17FC">
        <w:rPr>
          <w:lang w:val="es-CO"/>
        </w:rPr>
        <w:t xml:space="preserve">s, nos aconsejaron </w:t>
      </w:r>
      <w:r w:rsidR="007306C3" w:rsidRPr="003D17FC">
        <w:rPr>
          <w:lang w:val="es-CO"/>
        </w:rPr>
        <w:t xml:space="preserve">presentarnos </w:t>
      </w:r>
      <w:r w:rsidR="00741C3D" w:rsidRPr="003D17FC">
        <w:rPr>
          <w:lang w:val="es-CO"/>
        </w:rPr>
        <w:t>nuevamente.</w:t>
      </w:r>
    </w:p>
    <w:p w:rsidR="007306C3" w:rsidRPr="005A4B27" w:rsidRDefault="007306C3" w:rsidP="00396753">
      <w:pPr>
        <w:jc w:val="both"/>
        <w:rPr>
          <w:lang w:val="es-CO"/>
        </w:rPr>
      </w:pPr>
      <w:r w:rsidRPr="005A4B27">
        <w:rPr>
          <w:lang w:val="es-CO"/>
        </w:rPr>
        <w:tab/>
        <w:t xml:space="preserve">A mediados de mayo de 2008 concertamos una cita en St. Petersburg, Florida para la selección de participantes en el </w:t>
      </w:r>
      <w:r w:rsidR="00524C6B" w:rsidRPr="005A4B27">
        <w:rPr>
          <w:lang w:val="es-CO"/>
        </w:rPr>
        <w:t>e</w:t>
      </w:r>
      <w:r w:rsidRPr="005A4B27">
        <w:rPr>
          <w:lang w:val="es-CO"/>
        </w:rPr>
        <w:t>studio de un inhibidor de gamma-secretas</w:t>
      </w:r>
      <w:r w:rsidR="006C61BE" w:rsidRPr="005A4B27">
        <w:rPr>
          <w:lang w:val="es-CO"/>
        </w:rPr>
        <w:t>a,</w:t>
      </w:r>
      <w:r w:rsidRPr="005A4B27">
        <w:rPr>
          <w:lang w:val="es-CO"/>
        </w:rPr>
        <w:t xml:space="preserve"> de Eli Lilly</w:t>
      </w:r>
      <w:r w:rsidR="006C61BE" w:rsidRPr="005A4B27">
        <w:rPr>
          <w:lang w:val="es-CO"/>
        </w:rPr>
        <w:t>,</w:t>
      </w:r>
      <w:r w:rsidRPr="005A4B27">
        <w:rPr>
          <w:lang w:val="es-CO"/>
        </w:rPr>
        <w:t xml:space="preserve"> y otra cita al día siguiente para un nuevo estudio de Elan en </w:t>
      </w:r>
      <w:r w:rsidR="00524C6B" w:rsidRPr="005A4B27">
        <w:rPr>
          <w:lang w:val="es-CO"/>
        </w:rPr>
        <w:t xml:space="preserve">la </w:t>
      </w:r>
      <w:r w:rsidRPr="005A4B27">
        <w:rPr>
          <w:lang w:val="es-CO"/>
        </w:rPr>
        <w:t>USF. La noche antes de la selección en St. Petersburg, investigué ambos medicamentos para ayudarnos a decid</w:t>
      </w:r>
      <w:r w:rsidR="00524C6B" w:rsidRPr="005A4B27">
        <w:rPr>
          <w:lang w:val="es-CO"/>
        </w:rPr>
        <w:t>i</w:t>
      </w:r>
      <w:r w:rsidRPr="005A4B27">
        <w:rPr>
          <w:lang w:val="es-CO"/>
        </w:rPr>
        <w:t>r cuál escoger en caso de que Steve c</w:t>
      </w:r>
      <w:r w:rsidR="00993678" w:rsidRPr="005A4B27">
        <w:rPr>
          <w:lang w:val="es-CO"/>
        </w:rPr>
        <w:t>a</w:t>
      </w:r>
      <w:r w:rsidRPr="005A4B27">
        <w:rPr>
          <w:lang w:val="es-CO"/>
        </w:rPr>
        <w:t xml:space="preserve">lificara para ambos estudios. </w:t>
      </w:r>
      <w:r w:rsidR="006C61BE" w:rsidRPr="005A4B27">
        <w:rPr>
          <w:lang w:val="es-CO"/>
        </w:rPr>
        <w:t>E</w:t>
      </w:r>
      <w:r w:rsidR="00993678" w:rsidRPr="005A4B27">
        <w:rPr>
          <w:lang w:val="es-CO"/>
        </w:rPr>
        <w:t xml:space="preserve">ncontré otro medicamento, Ketasyn, o AC-1202, que también estaba reclutando personas </w:t>
      </w:r>
      <w:r w:rsidR="00E74557" w:rsidRPr="005A4B27">
        <w:rPr>
          <w:lang w:val="es-CO"/>
        </w:rPr>
        <w:t>mayores</w:t>
      </w:r>
      <w:r w:rsidR="00993678" w:rsidRPr="005A4B27">
        <w:rPr>
          <w:lang w:val="es-CO"/>
        </w:rPr>
        <w:t xml:space="preserve"> saludables para probar la tolerancia de tres </w:t>
      </w:r>
      <w:r w:rsidR="00E74557" w:rsidRPr="005A4B27">
        <w:rPr>
          <w:lang w:val="es-CO"/>
        </w:rPr>
        <w:t>formulaciones</w:t>
      </w:r>
      <w:r w:rsidR="00993678" w:rsidRPr="005A4B27">
        <w:rPr>
          <w:lang w:val="es-CO"/>
        </w:rPr>
        <w:t xml:space="preserve"> diferentes. Profundizando en mi invest</w:t>
      </w:r>
      <w:r w:rsidR="00524C6B" w:rsidRPr="005A4B27">
        <w:rPr>
          <w:lang w:val="es-CO"/>
        </w:rPr>
        <w:t>igación, encontré que en un perí</w:t>
      </w:r>
      <w:r w:rsidR="00993678" w:rsidRPr="005A4B27">
        <w:rPr>
          <w:lang w:val="es-CO"/>
        </w:rPr>
        <w:t>od</w:t>
      </w:r>
      <w:r w:rsidR="00524C6B" w:rsidRPr="005A4B27">
        <w:rPr>
          <w:lang w:val="es-CO"/>
        </w:rPr>
        <w:t>o</w:t>
      </w:r>
      <w:r w:rsidR="00993678" w:rsidRPr="005A4B27">
        <w:rPr>
          <w:lang w:val="es-CO"/>
        </w:rPr>
        <w:t xml:space="preserve"> de 90 días, este tratamiento produjo una mejoría significativa en casi la mitad de los sujetos que pres</w:t>
      </w:r>
      <w:r w:rsidR="0090491E" w:rsidRPr="005A4B27">
        <w:rPr>
          <w:lang w:val="es-CO"/>
        </w:rPr>
        <w:t>e</w:t>
      </w:r>
      <w:r w:rsidR="00993678" w:rsidRPr="005A4B27">
        <w:rPr>
          <w:lang w:val="es-CO"/>
        </w:rPr>
        <w:t xml:space="preserve">ntaban un cierto perfil genético (APOE2 o APOE3). El grupo APOE4 se mantuvo </w:t>
      </w:r>
      <w:r w:rsidR="00741C3D" w:rsidRPr="005A4B27">
        <w:rPr>
          <w:lang w:val="es-CO"/>
        </w:rPr>
        <w:t>sin mayor cambio</w:t>
      </w:r>
      <w:r w:rsidR="00993678" w:rsidRPr="005A4B27">
        <w:rPr>
          <w:lang w:val="es-CO"/>
        </w:rPr>
        <w:t xml:space="preserve">, en tanto que en los </w:t>
      </w:r>
      <w:r w:rsidR="00741C3D" w:rsidRPr="005A4B27">
        <w:rPr>
          <w:lang w:val="es-CO"/>
        </w:rPr>
        <w:t>paciente-control</w:t>
      </w:r>
      <w:r w:rsidR="00993678" w:rsidRPr="005A4B27">
        <w:rPr>
          <w:lang w:val="es-CO"/>
        </w:rPr>
        <w:t xml:space="preserve"> (las personas a quienes se había administrado el placebo) </w:t>
      </w:r>
      <w:r w:rsidR="00741C3D" w:rsidRPr="005A4B27">
        <w:rPr>
          <w:lang w:val="es-CO"/>
        </w:rPr>
        <w:t xml:space="preserve">se deterioraron </w:t>
      </w:r>
      <w:r w:rsidR="00A37B9E" w:rsidRPr="003D17FC">
        <w:rPr>
          <w:lang w:val="es-CO"/>
        </w:rPr>
        <w:t>aún más</w:t>
      </w:r>
      <w:r w:rsidR="00741C3D" w:rsidRPr="003D17FC">
        <w:rPr>
          <w:lang w:val="es-CO"/>
        </w:rPr>
        <w:t>.</w:t>
      </w:r>
      <w:r w:rsidR="00993678" w:rsidRPr="005A4B27">
        <w:rPr>
          <w:lang w:val="es-CO"/>
        </w:rPr>
        <w:t xml:space="preserve"> Los resultados </w:t>
      </w:r>
      <w:r w:rsidR="00077DC4" w:rsidRPr="003D17FC">
        <w:rPr>
          <w:lang w:val="es-CO"/>
        </w:rPr>
        <w:t>fueron</w:t>
      </w:r>
      <w:r w:rsidR="00077DC4">
        <w:rPr>
          <w:lang w:val="es-CO"/>
        </w:rPr>
        <w:t xml:space="preserve"> </w:t>
      </w:r>
      <w:r w:rsidR="00993678" w:rsidRPr="005A4B27">
        <w:rPr>
          <w:lang w:val="es-CO"/>
        </w:rPr>
        <w:t xml:space="preserve">todavía </w:t>
      </w:r>
      <w:r w:rsidR="00A37B9E" w:rsidRPr="003D17FC">
        <w:rPr>
          <w:lang w:val="es-CO"/>
        </w:rPr>
        <w:t xml:space="preserve">más </w:t>
      </w:r>
      <w:r w:rsidR="00741C3D" w:rsidRPr="003D17FC">
        <w:rPr>
          <w:lang w:val="es-CO"/>
        </w:rPr>
        <w:t xml:space="preserve">impresionantes en personas que estaban tomando </w:t>
      </w:r>
      <w:r w:rsidR="00C0235D" w:rsidRPr="003D17FC">
        <w:rPr>
          <w:lang w:val="es-CO"/>
        </w:rPr>
        <w:t>ciertos medicamentos para el Al</w:t>
      </w:r>
      <w:r w:rsidR="00993678" w:rsidRPr="003D17FC">
        <w:rPr>
          <w:lang w:val="es-CO"/>
        </w:rPr>
        <w:t xml:space="preserve">zheimer. En un </w:t>
      </w:r>
      <w:r w:rsidR="00524C6B" w:rsidRPr="003D17FC">
        <w:rPr>
          <w:lang w:val="es-CO"/>
        </w:rPr>
        <w:t>e</w:t>
      </w:r>
      <w:r w:rsidR="00993678" w:rsidRPr="003D17FC">
        <w:rPr>
          <w:lang w:val="es-CO"/>
        </w:rPr>
        <w:t xml:space="preserve">studio piloto, algunas personas mejoraron </w:t>
      </w:r>
      <w:r w:rsidR="00741C3D" w:rsidRPr="003D17FC">
        <w:rPr>
          <w:lang w:val="es-CO"/>
        </w:rPr>
        <w:t>su prueba de memoria después de la primera</w:t>
      </w:r>
      <w:r w:rsidR="00741C3D" w:rsidRPr="005A4B27">
        <w:rPr>
          <w:lang w:val="es-CO"/>
        </w:rPr>
        <w:t xml:space="preserve"> dosis</w:t>
      </w:r>
      <w:r w:rsidR="00B623C1" w:rsidRPr="00FD2303">
        <w:rPr>
          <w:lang w:val="es-CO"/>
        </w:rPr>
        <w:t xml:space="preserve">. </w:t>
      </w:r>
      <w:r w:rsidR="004E4816" w:rsidRPr="00FD2303">
        <w:rPr>
          <w:lang w:val="es-CO"/>
        </w:rPr>
        <w:t xml:space="preserve">Investigando en </w:t>
      </w:r>
      <w:r w:rsidR="003D17FC">
        <w:rPr>
          <w:lang w:val="es-CO"/>
        </w:rPr>
        <w:t>I</w:t>
      </w:r>
      <w:r w:rsidR="004E4816" w:rsidRPr="00FD2303">
        <w:rPr>
          <w:lang w:val="es-CO"/>
        </w:rPr>
        <w:t>nternet acerca de Ketasyn</w:t>
      </w:r>
      <w:r w:rsidR="00B623C1" w:rsidRPr="005A4B27">
        <w:rPr>
          <w:lang w:val="es-CO"/>
        </w:rPr>
        <w:t xml:space="preserve">, encontré una solicitud </w:t>
      </w:r>
      <w:r w:rsidR="004E4816" w:rsidRPr="005A4B27">
        <w:rPr>
          <w:lang w:val="es-CO"/>
        </w:rPr>
        <w:t>para patente de E</w:t>
      </w:r>
      <w:r w:rsidR="00B623C1" w:rsidRPr="005A4B27">
        <w:rPr>
          <w:lang w:val="es-CO"/>
        </w:rPr>
        <w:t>nero de</w:t>
      </w:r>
      <w:r w:rsidR="004E4816" w:rsidRPr="005A4B27">
        <w:rPr>
          <w:lang w:val="es-CO"/>
        </w:rPr>
        <w:t>l</w:t>
      </w:r>
      <w:r w:rsidR="00B623C1" w:rsidRPr="005A4B27">
        <w:rPr>
          <w:lang w:val="es-CO"/>
        </w:rPr>
        <w:t xml:space="preserve"> 2008 (véase www.freepatentsonline.com),</w:t>
      </w:r>
      <w:r w:rsidR="00B623C1" w:rsidRPr="005A4B27">
        <w:rPr>
          <w:vertAlign w:val="superscript"/>
          <w:lang w:val="es-CO"/>
        </w:rPr>
        <w:t>1</w:t>
      </w:r>
      <w:r w:rsidR="00524C6B" w:rsidRPr="005A4B27">
        <w:rPr>
          <w:vertAlign w:val="superscript"/>
          <w:lang w:val="es-CO"/>
        </w:rPr>
        <w:t>0</w:t>
      </w:r>
      <w:r w:rsidR="00B623C1" w:rsidRPr="005A4B27">
        <w:rPr>
          <w:lang w:val="es-CO"/>
        </w:rPr>
        <w:t xml:space="preserve"> continuación de una solicitud el año 2000, de 75 páginas, con una </w:t>
      </w:r>
      <w:r w:rsidR="004E4816" w:rsidRPr="005A4B27">
        <w:rPr>
          <w:lang w:val="es-CO"/>
        </w:rPr>
        <w:t xml:space="preserve">muy bien escrita y </w:t>
      </w:r>
      <w:r w:rsidR="00B623C1" w:rsidRPr="005A4B27">
        <w:rPr>
          <w:lang w:val="es-CO"/>
        </w:rPr>
        <w:t xml:space="preserve">minuciosa descripción científica de la enfermedad de Alzheimer y la </w:t>
      </w:r>
      <w:r w:rsidR="00E74557" w:rsidRPr="005A4B27">
        <w:rPr>
          <w:lang w:val="es-CO"/>
        </w:rPr>
        <w:t>descripción</w:t>
      </w:r>
      <w:r w:rsidR="00B623C1" w:rsidRPr="005A4B27">
        <w:rPr>
          <w:lang w:val="es-CO"/>
        </w:rPr>
        <w:t xml:space="preserve"> del “invento”, que incluía </w:t>
      </w:r>
      <w:r w:rsidR="00E74557" w:rsidRPr="005A4B27">
        <w:rPr>
          <w:lang w:val="es-CO"/>
        </w:rPr>
        <w:t>los</w:t>
      </w:r>
      <w:r w:rsidR="00B623C1" w:rsidRPr="005A4B27">
        <w:rPr>
          <w:lang w:val="es-CO"/>
        </w:rPr>
        <w:t xml:space="preserve"> resultados de estudios y numerosas posibles formulaciones en combinación con otras sustancias que podrían aumentar su efecto.</w:t>
      </w:r>
    </w:p>
    <w:p w:rsidR="0090491E" w:rsidRPr="005A4B27" w:rsidRDefault="0090491E" w:rsidP="00396753">
      <w:pPr>
        <w:jc w:val="both"/>
        <w:rPr>
          <w:lang w:val="es-CO"/>
        </w:rPr>
      </w:pPr>
      <w:r w:rsidRPr="005A4B27">
        <w:rPr>
          <w:lang w:val="es-CO"/>
        </w:rPr>
        <w:tab/>
        <w:t>Me</w:t>
      </w:r>
      <w:r w:rsidR="00524C6B" w:rsidRPr="005A4B27">
        <w:rPr>
          <w:lang w:val="es-CO"/>
        </w:rPr>
        <w:t xml:space="preserve"> enteré que el prometedor ingre</w:t>
      </w:r>
      <w:r w:rsidRPr="005A4B27">
        <w:rPr>
          <w:lang w:val="es-CO"/>
        </w:rPr>
        <w:t xml:space="preserve">diente del Ketasyn es simplemente el aceite </w:t>
      </w:r>
      <w:r w:rsidR="006A1260" w:rsidRPr="005A4B27">
        <w:rPr>
          <w:lang w:val="es-CO"/>
        </w:rPr>
        <w:t>de TCM</w:t>
      </w:r>
      <w:r w:rsidRPr="005A4B27">
        <w:rPr>
          <w:lang w:val="es-CO"/>
        </w:rPr>
        <w:t xml:space="preserve">, y que se </w:t>
      </w:r>
      <w:r w:rsidR="00F259B0" w:rsidRPr="005A4B27">
        <w:rPr>
          <w:lang w:val="es-CO"/>
        </w:rPr>
        <w:t>administra</w:t>
      </w:r>
      <w:r w:rsidRPr="005A4B27">
        <w:rPr>
          <w:lang w:val="es-CO"/>
        </w:rPr>
        <w:t>ba una dosis de 20 gramos (unos 20 ml o 4 cucharaditas) para produc</w:t>
      </w:r>
      <w:r w:rsidR="00524C6B" w:rsidRPr="005A4B27">
        <w:rPr>
          <w:lang w:val="es-CO"/>
        </w:rPr>
        <w:t>i</w:t>
      </w:r>
      <w:r w:rsidRPr="005A4B27">
        <w:rPr>
          <w:lang w:val="es-CO"/>
        </w:rPr>
        <w:t xml:space="preserve">r esos resultados. El aceite </w:t>
      </w:r>
      <w:r w:rsidR="006A1260" w:rsidRPr="005A4B27">
        <w:rPr>
          <w:lang w:val="es-CO"/>
        </w:rPr>
        <w:t>de TCM</w:t>
      </w:r>
      <w:r w:rsidRPr="005A4B27">
        <w:rPr>
          <w:lang w:val="es-CO"/>
        </w:rPr>
        <w:t xml:space="preserve"> que estos investigadores usaban era producido por la Stepan Company y consiste básicamente en cadenas de 6 y </w:t>
      </w:r>
      <w:r w:rsidR="0074114C" w:rsidRPr="005A4B27">
        <w:rPr>
          <w:lang w:val="es-CO"/>
        </w:rPr>
        <w:t>8</w:t>
      </w:r>
      <w:r w:rsidRPr="005A4B27">
        <w:rPr>
          <w:lang w:val="es-CO"/>
        </w:rPr>
        <w:t xml:space="preserve"> carbonos, aunque aseguraban </w:t>
      </w:r>
      <w:r w:rsidR="00C0235D" w:rsidRPr="005A4B27">
        <w:rPr>
          <w:lang w:val="es-CO"/>
        </w:rPr>
        <w:t>que</w:t>
      </w:r>
      <w:r w:rsidR="00524C6B" w:rsidRPr="005A4B27">
        <w:rPr>
          <w:lang w:val="es-CO"/>
        </w:rPr>
        <w:t xml:space="preserve"> </w:t>
      </w:r>
      <w:r w:rsidR="006A1260" w:rsidRPr="005A4B27">
        <w:rPr>
          <w:lang w:val="es-CO"/>
        </w:rPr>
        <w:t>los TCM</w:t>
      </w:r>
      <w:r w:rsidR="00C0235D" w:rsidRPr="005A4B27">
        <w:rPr>
          <w:lang w:val="es-CO"/>
        </w:rPr>
        <w:t xml:space="preserve"> proveniente</w:t>
      </w:r>
      <w:r w:rsidR="006A1260" w:rsidRPr="005A4B27">
        <w:rPr>
          <w:lang w:val="es-CO"/>
        </w:rPr>
        <w:t>s</w:t>
      </w:r>
      <w:r w:rsidR="00C0235D" w:rsidRPr="005A4B27">
        <w:rPr>
          <w:lang w:val="es-CO"/>
        </w:rPr>
        <w:t xml:space="preserve"> de cualquier combinación de cadenas medias (las medias son cadenas de </w:t>
      </w:r>
      <w:r w:rsidR="00524C6B" w:rsidRPr="005A4B27">
        <w:rPr>
          <w:lang w:val="es-CO"/>
        </w:rPr>
        <w:t>6 a 12 carbonos) también s</w:t>
      </w:r>
      <w:r w:rsidR="006A1260" w:rsidRPr="005A4B27">
        <w:rPr>
          <w:lang w:val="es-CO"/>
        </w:rPr>
        <w:t>irv</w:t>
      </w:r>
      <w:r w:rsidR="00D9543A" w:rsidRPr="005A4B27">
        <w:rPr>
          <w:lang w:val="es-CO"/>
        </w:rPr>
        <w:t>en</w:t>
      </w:r>
      <w:r w:rsidR="00C0235D" w:rsidRPr="005A4B27">
        <w:rPr>
          <w:lang w:val="es-CO"/>
        </w:rPr>
        <w:t xml:space="preserve">. En </w:t>
      </w:r>
      <w:r w:rsidR="00C0235D" w:rsidRPr="003D17FC">
        <w:rPr>
          <w:lang w:val="es-CO"/>
        </w:rPr>
        <w:t>esta solicitud</w:t>
      </w:r>
      <w:r w:rsidR="00C0235D" w:rsidRPr="005A4B27">
        <w:rPr>
          <w:lang w:val="es-CO"/>
        </w:rPr>
        <w:t xml:space="preserve">, el </w:t>
      </w:r>
      <w:r w:rsidR="00077DC4" w:rsidRPr="003D17FC">
        <w:rPr>
          <w:lang w:val="es-CO"/>
        </w:rPr>
        <w:t xml:space="preserve">autor </w:t>
      </w:r>
      <w:r w:rsidR="00C344C9" w:rsidRPr="003D17FC">
        <w:rPr>
          <w:lang w:val="es-CO"/>
        </w:rPr>
        <w:t xml:space="preserve">solamente una vez </w:t>
      </w:r>
      <w:r w:rsidR="00266757" w:rsidRPr="003D17FC">
        <w:rPr>
          <w:lang w:val="es-CO"/>
        </w:rPr>
        <w:t xml:space="preserve">menciona </w:t>
      </w:r>
      <w:r w:rsidR="00C0235D" w:rsidRPr="003D17FC">
        <w:rPr>
          <w:lang w:val="es-CO"/>
        </w:rPr>
        <w:t xml:space="preserve">que el aceite </w:t>
      </w:r>
      <w:r w:rsidR="006A1260" w:rsidRPr="003D17FC">
        <w:rPr>
          <w:lang w:val="es-CO"/>
        </w:rPr>
        <w:t>de TCM</w:t>
      </w:r>
      <w:r w:rsidR="0074114C" w:rsidRPr="003D17FC">
        <w:rPr>
          <w:lang w:val="es-CO"/>
        </w:rPr>
        <w:t xml:space="preserve"> es un derivado del aceite de coco o de </w:t>
      </w:r>
      <w:r w:rsidR="00524C6B" w:rsidRPr="003D17FC">
        <w:rPr>
          <w:lang w:val="es-CO"/>
        </w:rPr>
        <w:t>p</w:t>
      </w:r>
      <w:r w:rsidR="0074114C" w:rsidRPr="003D17FC">
        <w:rPr>
          <w:lang w:val="es-CO"/>
        </w:rPr>
        <w:t>alma (</w:t>
      </w:r>
      <w:r w:rsidR="00077DC4" w:rsidRPr="003D17FC">
        <w:rPr>
          <w:lang w:val="es-CO"/>
        </w:rPr>
        <w:t xml:space="preserve">lo que es incorrecto, debió </w:t>
      </w:r>
      <w:r w:rsidR="0074114C" w:rsidRPr="003D17FC">
        <w:rPr>
          <w:lang w:val="es-CO"/>
        </w:rPr>
        <w:t>especificar</w:t>
      </w:r>
      <w:r w:rsidR="0074114C" w:rsidRPr="005A4B27">
        <w:rPr>
          <w:lang w:val="es-CO"/>
        </w:rPr>
        <w:t xml:space="preserve"> que es aceite </w:t>
      </w:r>
      <w:r w:rsidR="00C344C9" w:rsidRPr="005A4B27">
        <w:rPr>
          <w:lang w:val="es-CO"/>
        </w:rPr>
        <w:t>de la semilla de</w:t>
      </w:r>
      <w:r w:rsidR="00524C6B" w:rsidRPr="005A4B27">
        <w:rPr>
          <w:lang w:val="es-CO"/>
        </w:rPr>
        <w:t xml:space="preserve"> palma</w:t>
      </w:r>
      <w:r w:rsidR="00C344C9" w:rsidRPr="005A4B27">
        <w:rPr>
          <w:lang w:val="es-CO"/>
        </w:rPr>
        <w:t xml:space="preserve"> o  palmiste</w:t>
      </w:r>
      <w:r w:rsidR="00D44EC8" w:rsidRPr="005A4B27">
        <w:rPr>
          <w:lang w:val="es-CO"/>
        </w:rPr>
        <w:t>)</w:t>
      </w:r>
      <w:r w:rsidR="0074114C" w:rsidRPr="005A4B27">
        <w:rPr>
          <w:lang w:val="es-CO"/>
        </w:rPr>
        <w:t>.</w:t>
      </w:r>
    </w:p>
    <w:p w:rsidR="00D44EC8" w:rsidRPr="005A4B27" w:rsidRDefault="00D44EC8" w:rsidP="00396753">
      <w:pPr>
        <w:jc w:val="both"/>
        <w:rPr>
          <w:lang w:val="es-CO"/>
        </w:rPr>
      </w:pPr>
      <w:r w:rsidRPr="005A4B27">
        <w:rPr>
          <w:lang w:val="es-CO"/>
        </w:rPr>
        <w:tab/>
        <w:t xml:space="preserve">En ese momento, yo no sabía que el aceite </w:t>
      </w:r>
      <w:r w:rsidR="006A1260" w:rsidRPr="005A4B27">
        <w:rPr>
          <w:lang w:val="es-CO"/>
        </w:rPr>
        <w:t>de TCM</w:t>
      </w:r>
      <w:r w:rsidRPr="005A4B27">
        <w:rPr>
          <w:lang w:val="es-CO"/>
        </w:rPr>
        <w:t xml:space="preserve"> se podía comprar fácilmente </w:t>
      </w:r>
      <w:r w:rsidR="00266757" w:rsidRPr="005A4B27">
        <w:rPr>
          <w:lang w:val="es-CO"/>
        </w:rPr>
        <w:t>por internet</w:t>
      </w:r>
      <w:r w:rsidR="00054677" w:rsidRPr="005A4B27">
        <w:rPr>
          <w:lang w:val="es-CO"/>
        </w:rPr>
        <w:t xml:space="preserve">, así que busqué aceite de coco y encontré que el aceite de coco está compuesto en cerca </w:t>
      </w:r>
      <w:r w:rsidR="000F709C" w:rsidRPr="005A4B27">
        <w:rPr>
          <w:lang w:val="es-CO"/>
        </w:rPr>
        <w:t>del</w:t>
      </w:r>
      <w:r w:rsidR="00054677" w:rsidRPr="005A4B27">
        <w:rPr>
          <w:lang w:val="es-CO"/>
        </w:rPr>
        <w:t xml:space="preserve"> 60% por ácidos grasos de cadena media (</w:t>
      </w:r>
      <w:r w:rsidR="006A1260" w:rsidRPr="005A4B27">
        <w:rPr>
          <w:lang w:val="es-CO"/>
        </w:rPr>
        <w:t xml:space="preserve">por su acrónimo en inglés: </w:t>
      </w:r>
      <w:r w:rsidR="00054677" w:rsidRPr="005A4B27">
        <w:rPr>
          <w:lang w:val="es-CO"/>
        </w:rPr>
        <w:t xml:space="preserve">MCFA – </w:t>
      </w:r>
      <w:r w:rsidR="00054677" w:rsidRPr="005A4B27">
        <w:rPr>
          <w:i/>
          <w:lang w:val="es-CO"/>
        </w:rPr>
        <w:t>medium chain fatty acids</w:t>
      </w:r>
      <w:r w:rsidR="006A1260" w:rsidRPr="005A4B27">
        <w:rPr>
          <w:i/>
          <w:lang w:val="es-CO"/>
        </w:rPr>
        <w:t xml:space="preserve"> </w:t>
      </w:r>
      <w:r w:rsidR="006A1260" w:rsidRPr="005A4B27">
        <w:rPr>
          <w:lang w:val="es-CO"/>
        </w:rPr>
        <w:t>y, en español ACGM</w:t>
      </w:r>
      <w:r w:rsidR="00524C6B" w:rsidRPr="005A4B27">
        <w:rPr>
          <w:lang w:val="es-CO"/>
        </w:rPr>
        <w:t xml:space="preserve">), </w:t>
      </w:r>
      <w:r w:rsidR="000F709C" w:rsidRPr="005A4B27">
        <w:rPr>
          <w:lang w:val="es-CO"/>
        </w:rPr>
        <w:t xml:space="preserve">que </w:t>
      </w:r>
      <w:r w:rsidR="00524C6B" w:rsidRPr="005A4B27">
        <w:rPr>
          <w:lang w:val="es-CO"/>
        </w:rPr>
        <w:t>no contiene c</w:t>
      </w:r>
      <w:r w:rsidR="00054677" w:rsidRPr="005A4B27">
        <w:rPr>
          <w:lang w:val="es-CO"/>
        </w:rPr>
        <w:t xml:space="preserve">olesterol y </w:t>
      </w:r>
      <w:r w:rsidR="000F709C" w:rsidRPr="005A4B27">
        <w:rPr>
          <w:lang w:val="es-CO"/>
        </w:rPr>
        <w:t xml:space="preserve">que </w:t>
      </w:r>
      <w:r w:rsidR="00054677" w:rsidRPr="005A4B27">
        <w:rPr>
          <w:lang w:val="es-CO"/>
        </w:rPr>
        <w:t>también contiene ácidos grasos omega-6 y alguno</w:t>
      </w:r>
      <w:r w:rsidR="00C076CD" w:rsidRPr="005A4B27">
        <w:rPr>
          <w:lang w:val="es-CO"/>
        </w:rPr>
        <w:t>s otros ácidos grasos de cadena</w:t>
      </w:r>
      <w:r w:rsidR="00054677" w:rsidRPr="005A4B27">
        <w:rPr>
          <w:lang w:val="es-CO"/>
        </w:rPr>
        <w:t xml:space="preserve"> media y larga de hasta 18 carbonos.</w:t>
      </w:r>
      <w:r w:rsidR="00F77976" w:rsidRPr="005A4B27">
        <w:rPr>
          <w:vertAlign w:val="superscript"/>
          <w:lang w:val="es-CO"/>
        </w:rPr>
        <w:t>11</w:t>
      </w:r>
      <w:r w:rsidR="00F77976" w:rsidRPr="005A4B27">
        <w:rPr>
          <w:lang w:val="es-CO"/>
        </w:rPr>
        <w:t xml:space="preserve"> El aceite de coco se </w:t>
      </w:r>
      <w:r w:rsidR="003D17FC">
        <w:rPr>
          <w:lang w:val="es-CO"/>
        </w:rPr>
        <w:t>consigue</w:t>
      </w:r>
      <w:r w:rsidR="00F77976" w:rsidRPr="005A4B27">
        <w:rPr>
          <w:lang w:val="es-CO"/>
        </w:rPr>
        <w:t xml:space="preserve"> en muchas tiendas de alimentos naturales e incluso en alg</w:t>
      </w:r>
      <w:r w:rsidR="00C076CD" w:rsidRPr="005A4B27">
        <w:rPr>
          <w:lang w:val="es-CO"/>
        </w:rPr>
        <w:t>unas tiendas de víveres. En el á</w:t>
      </w:r>
      <w:r w:rsidR="00F77976" w:rsidRPr="005A4B27">
        <w:rPr>
          <w:lang w:val="es-CO"/>
        </w:rPr>
        <w:t>rea de la Florida, Wal-Mart vende una marca de aceite de coco no hidrogenado (</w:t>
      </w:r>
      <w:r w:rsidR="00A2396A" w:rsidRPr="005A4B27">
        <w:rPr>
          <w:lang w:val="es-CO"/>
        </w:rPr>
        <w:t>sin</w:t>
      </w:r>
      <w:r w:rsidR="00F77976" w:rsidRPr="005A4B27">
        <w:rPr>
          <w:lang w:val="es-CO"/>
        </w:rPr>
        <w:t xml:space="preserve"> grasa trans) en envases de un litro (32 onzas) por c</w:t>
      </w:r>
      <w:r w:rsidR="00C076CD" w:rsidRPr="005A4B27">
        <w:rPr>
          <w:lang w:val="es-CO"/>
        </w:rPr>
        <w:t>e</w:t>
      </w:r>
      <w:r w:rsidR="00F77976" w:rsidRPr="005A4B27">
        <w:rPr>
          <w:lang w:val="es-CO"/>
        </w:rPr>
        <w:t xml:space="preserve">rca de </w:t>
      </w:r>
      <w:r w:rsidR="00CE0815" w:rsidRPr="005A4B27">
        <w:rPr>
          <w:lang w:val="es-CO"/>
        </w:rPr>
        <w:t>US</w:t>
      </w:r>
      <w:r w:rsidR="00F77976" w:rsidRPr="005A4B27">
        <w:rPr>
          <w:lang w:val="es-CO"/>
        </w:rPr>
        <w:t xml:space="preserve">$7. </w:t>
      </w:r>
      <w:r w:rsidR="00266757" w:rsidRPr="005A4B27">
        <w:rPr>
          <w:lang w:val="es-CO"/>
        </w:rPr>
        <w:t>Por internet</w:t>
      </w:r>
      <w:r w:rsidR="00F77976" w:rsidRPr="005A4B27">
        <w:rPr>
          <w:lang w:val="es-CO"/>
        </w:rPr>
        <w:t xml:space="preserve"> se puede comprar en cantidades tan pequeñas como una pinta [0.47 litros] y</w:t>
      </w:r>
      <w:r w:rsidR="00C076CD" w:rsidRPr="005A4B27">
        <w:rPr>
          <w:lang w:val="es-CO"/>
        </w:rPr>
        <w:t xml:space="preserve"> tan grandes como</w:t>
      </w:r>
      <w:r w:rsidR="00F77976" w:rsidRPr="005A4B27">
        <w:rPr>
          <w:lang w:val="es-CO"/>
        </w:rPr>
        <w:t xml:space="preserve"> hasta cinco galones. Es importante utiliz</w:t>
      </w:r>
      <w:r w:rsidR="00FF2B73" w:rsidRPr="005A4B27">
        <w:rPr>
          <w:lang w:val="es-CO"/>
        </w:rPr>
        <w:t>a</w:t>
      </w:r>
      <w:r w:rsidR="00F77976" w:rsidRPr="005A4B27">
        <w:rPr>
          <w:lang w:val="es-CO"/>
        </w:rPr>
        <w:t xml:space="preserve">r aceite se coco no hidrogenado que no contenga grasa trans. </w:t>
      </w:r>
      <w:r w:rsidR="00FD7A5E" w:rsidRPr="005A4B27">
        <w:rPr>
          <w:lang w:val="es-CO"/>
        </w:rPr>
        <w:t>Existe</w:t>
      </w:r>
      <w:r w:rsidR="00E74557" w:rsidRPr="005A4B27">
        <w:rPr>
          <w:lang w:val="es-CO"/>
        </w:rPr>
        <w:t xml:space="preserve"> un error muy generalizado en cuanto a que el aceite de coco es el “aceite que obstruye las arterias”, un término acuñado a mediados de la década de 1900 por el presidente de Procter and Gamble,</w:t>
      </w:r>
      <w:r w:rsidR="00FD7A5E" w:rsidRPr="005A4B27">
        <w:rPr>
          <w:lang w:val="es-CO"/>
        </w:rPr>
        <w:t xml:space="preserve"> compañía</w:t>
      </w:r>
      <w:r w:rsidR="00E74557" w:rsidRPr="005A4B27">
        <w:rPr>
          <w:lang w:val="es-CO"/>
        </w:rPr>
        <w:t xml:space="preserve"> fabricante de Crisco y otros aceites vegetales hidrogenados. </w:t>
      </w:r>
      <w:r w:rsidR="00F77976" w:rsidRPr="005A4B27">
        <w:rPr>
          <w:lang w:val="es-CO"/>
        </w:rPr>
        <w:t>En los primeros estudios en animales se utiliz</w:t>
      </w:r>
      <w:r w:rsidR="002F736F" w:rsidRPr="005A4B27">
        <w:rPr>
          <w:lang w:val="es-CO"/>
        </w:rPr>
        <w:t>ó</w:t>
      </w:r>
      <w:r w:rsidR="00F77976" w:rsidRPr="005A4B27">
        <w:rPr>
          <w:lang w:val="es-CO"/>
        </w:rPr>
        <w:t xml:space="preserve"> aceite de coco hidrogenado</w:t>
      </w:r>
      <w:r w:rsidR="00102544" w:rsidRPr="005A4B27">
        <w:rPr>
          <w:lang w:val="es-CO"/>
        </w:rPr>
        <w:t xml:space="preserve"> que</w:t>
      </w:r>
      <w:r w:rsidR="00FF2B73" w:rsidRPr="005A4B27">
        <w:rPr>
          <w:lang w:val="es-CO"/>
        </w:rPr>
        <w:t xml:space="preserve"> ahora sa</w:t>
      </w:r>
      <w:r w:rsidR="002F736F" w:rsidRPr="005A4B27">
        <w:rPr>
          <w:lang w:val="es-CO"/>
        </w:rPr>
        <w:t>b</w:t>
      </w:r>
      <w:r w:rsidR="00FF2B73" w:rsidRPr="005A4B27">
        <w:rPr>
          <w:lang w:val="es-CO"/>
        </w:rPr>
        <w:t>emos produce las tan mencionadas grasas trans, y los ácidos grasos esenciales quedaron excluidos de la dieta.</w:t>
      </w:r>
      <w:r w:rsidR="00FF2B73" w:rsidRPr="005A4B27">
        <w:rPr>
          <w:vertAlign w:val="superscript"/>
          <w:lang w:val="es-CO"/>
        </w:rPr>
        <w:t>13</w:t>
      </w:r>
    </w:p>
    <w:p w:rsidR="0094379F" w:rsidRPr="005A4B27" w:rsidRDefault="0094379F" w:rsidP="00396753">
      <w:pPr>
        <w:jc w:val="both"/>
        <w:rPr>
          <w:lang w:val="es-CO"/>
        </w:rPr>
      </w:pPr>
      <w:r w:rsidRPr="005A4B27">
        <w:rPr>
          <w:lang w:val="es-CO"/>
        </w:rPr>
        <w:tab/>
        <w:t>El país mayor productor de aceite de coco es Filipinas, donde el coco y su aceite son alimentos básicos. También se produce en la India, Tailandia y otro</w:t>
      </w:r>
      <w:r w:rsidR="00D732A5" w:rsidRPr="005A4B27">
        <w:rPr>
          <w:lang w:val="es-CO"/>
        </w:rPr>
        <w:t>s países del sudeste asiático, así como e</w:t>
      </w:r>
      <w:r w:rsidRPr="005A4B27">
        <w:rPr>
          <w:lang w:val="es-CO"/>
        </w:rPr>
        <w:t>n las islas del Caribe e incluso en el sur de la Florida. Filipinas ostenta uno</w:t>
      </w:r>
      <w:r w:rsidR="00185D55" w:rsidRPr="005A4B27">
        <w:rPr>
          <w:lang w:val="es-CO"/>
        </w:rPr>
        <w:t xml:space="preserve"> de los más bajos índices de </w:t>
      </w:r>
      <w:r w:rsidRPr="005A4B27">
        <w:rPr>
          <w:lang w:val="es-CO"/>
        </w:rPr>
        <w:t xml:space="preserve">enfermedad cardiovascular en el mundo. Hay estudios que han mostrado que </w:t>
      </w:r>
      <w:r w:rsidR="003B7B2A" w:rsidRPr="005A4B27">
        <w:rPr>
          <w:lang w:val="es-CO"/>
        </w:rPr>
        <w:t>la tasa total de colesterol frente al HDL</w:t>
      </w:r>
      <w:r w:rsidRPr="005A4B27">
        <w:rPr>
          <w:lang w:val="es-CO"/>
        </w:rPr>
        <w:t xml:space="preserve"> mejora con el aceite de coco no hidrogenado.</w:t>
      </w:r>
      <w:r w:rsidRPr="005A4B27">
        <w:rPr>
          <w:vertAlign w:val="superscript"/>
          <w:lang w:val="es-CO"/>
        </w:rPr>
        <w:t>14, 15, 16, 17</w:t>
      </w:r>
      <w:r w:rsidRPr="005A4B27">
        <w:rPr>
          <w:lang w:val="es-CO"/>
        </w:rPr>
        <w:t xml:space="preserve"> En este lugar del mundo la gente consume pescado con regularidad, y por lo tanto los ácidos grasos omega-3, lo que probablemente también contribuye a la ausencia de enfermedad cardiovascular. Mis amigas enfermeras oriundas de Filipinas me cuentan que muchos de sus </w:t>
      </w:r>
      <w:r w:rsidR="00E74557" w:rsidRPr="005A4B27">
        <w:rPr>
          <w:lang w:val="es-CO"/>
        </w:rPr>
        <w:t>familiares</w:t>
      </w:r>
      <w:r w:rsidRPr="005A4B27">
        <w:rPr>
          <w:lang w:val="es-CO"/>
        </w:rPr>
        <w:t xml:space="preserve"> allá en las islas cocinan todo en aceite de coco y consumen coco en una u otra forma prácticamente en cada una de sus comidas.</w:t>
      </w:r>
    </w:p>
    <w:p w:rsidR="003B7B2A" w:rsidRPr="005A4B27" w:rsidRDefault="003B7B2A" w:rsidP="00396753">
      <w:pPr>
        <w:jc w:val="both"/>
        <w:rPr>
          <w:lang w:val="es-CO"/>
        </w:rPr>
      </w:pPr>
      <w:r w:rsidRPr="005A4B27">
        <w:rPr>
          <w:lang w:val="es-CO"/>
        </w:rPr>
        <w:tab/>
      </w:r>
      <w:r w:rsidR="00E74557" w:rsidRPr="005A4B27">
        <w:rPr>
          <w:lang w:val="es-CO"/>
        </w:rPr>
        <w:t>También he aprendido que después del aceite de coco y el aceite del fruto de la palma, el alimento con mayor concentración de triglicéridos de cadena media es la leche materna humana.</w:t>
      </w:r>
      <w:r w:rsidR="00E74557" w:rsidRPr="005A4B27">
        <w:rPr>
          <w:vertAlign w:val="superscript"/>
          <w:lang w:val="es-CO"/>
        </w:rPr>
        <w:t>12</w:t>
      </w:r>
      <w:r w:rsidR="00E74557" w:rsidRPr="005A4B27">
        <w:rPr>
          <w:lang w:val="es-CO"/>
        </w:rPr>
        <w:t xml:space="preserve"> También se encuentra en menor concentración en la leche de cabra y </w:t>
      </w:r>
      <w:r w:rsidR="00446AFE" w:rsidRPr="005A4B27">
        <w:rPr>
          <w:lang w:val="es-CO"/>
        </w:rPr>
        <w:t xml:space="preserve">en la </w:t>
      </w:r>
      <w:r w:rsidR="00E74557" w:rsidRPr="005A4B27">
        <w:rPr>
          <w:lang w:val="es-CO"/>
        </w:rPr>
        <w:t xml:space="preserve">de vaca, así como en las mantequillas de esas leches. </w:t>
      </w:r>
      <w:r w:rsidRPr="005A4B27">
        <w:rPr>
          <w:lang w:val="es-CO"/>
        </w:rPr>
        <w:t>De hecho, hace 20 a 25 años se</w:t>
      </w:r>
      <w:r w:rsidR="00F760EA" w:rsidRPr="005A4B27">
        <w:rPr>
          <w:lang w:val="es-CO"/>
        </w:rPr>
        <w:t xml:space="preserve"> acostumbraba agregar aceite de TCM</w:t>
      </w:r>
      <w:r w:rsidRPr="005A4B27">
        <w:rPr>
          <w:lang w:val="es-CO"/>
        </w:rPr>
        <w:t xml:space="preserve"> a las fórmulas para bebés prematuros para agregar calorías, y actualmente los aceites de </w:t>
      </w:r>
      <w:r w:rsidR="00F760EA" w:rsidRPr="005A4B27">
        <w:rPr>
          <w:lang w:val="es-CO"/>
        </w:rPr>
        <w:t>TCM</w:t>
      </w:r>
      <w:r w:rsidRPr="005A4B27">
        <w:rPr>
          <w:lang w:val="es-CO"/>
        </w:rPr>
        <w:t>, de coco y de palma se agregan a</w:t>
      </w:r>
      <w:r w:rsidR="00C076CD" w:rsidRPr="005A4B27">
        <w:rPr>
          <w:lang w:val="es-CO"/>
        </w:rPr>
        <w:t xml:space="preserve"> </w:t>
      </w:r>
      <w:r w:rsidRPr="005A4B27">
        <w:rPr>
          <w:lang w:val="es-CO"/>
        </w:rPr>
        <w:t xml:space="preserve">las formulas para bebés prematuros y de </w:t>
      </w:r>
      <w:r w:rsidR="00266757" w:rsidRPr="005A4B27">
        <w:rPr>
          <w:lang w:val="es-CO"/>
        </w:rPr>
        <w:t>termino</w:t>
      </w:r>
      <w:r w:rsidRPr="005A4B27">
        <w:rPr>
          <w:lang w:val="es-CO"/>
        </w:rPr>
        <w:t>, junto con ARA y DHA [</w:t>
      </w:r>
      <w:r w:rsidR="00F760EA" w:rsidRPr="005A4B27">
        <w:rPr>
          <w:lang w:val="es-CO"/>
        </w:rPr>
        <w:t xml:space="preserve">acrónimos en inglés </w:t>
      </w:r>
      <w:r w:rsidR="00446AFE" w:rsidRPr="005A4B27">
        <w:rPr>
          <w:lang w:val="es-CO"/>
        </w:rPr>
        <w:t>de</w:t>
      </w:r>
      <w:r w:rsidR="00F760EA" w:rsidRPr="005A4B27">
        <w:rPr>
          <w:i/>
          <w:lang w:val="es-CO"/>
        </w:rPr>
        <w:t xml:space="preserve"> arachidonic acid </w:t>
      </w:r>
      <w:r w:rsidR="00F760EA" w:rsidRPr="005A4B27">
        <w:rPr>
          <w:lang w:val="es-CO"/>
        </w:rPr>
        <w:t xml:space="preserve">y </w:t>
      </w:r>
      <w:r w:rsidR="00F760EA" w:rsidRPr="005A4B27">
        <w:rPr>
          <w:i/>
          <w:lang w:val="es-CO"/>
        </w:rPr>
        <w:t>docosahexaenoic acid</w:t>
      </w:r>
      <w:r w:rsidR="00F760EA" w:rsidRPr="005A4B27">
        <w:rPr>
          <w:lang w:val="es-CO"/>
        </w:rPr>
        <w:t>, ó</w:t>
      </w:r>
      <w:r w:rsidR="00D1511B" w:rsidRPr="005A4B27">
        <w:rPr>
          <w:i/>
          <w:lang w:val="es-CO"/>
        </w:rPr>
        <w:t xml:space="preserve"> </w:t>
      </w:r>
      <w:r w:rsidR="00F760EA" w:rsidRPr="005A4B27">
        <w:rPr>
          <w:lang w:val="es-CO"/>
        </w:rPr>
        <w:t xml:space="preserve">AA y DHA, en español, para los ácidos </w:t>
      </w:r>
      <w:r w:rsidR="00D1511B" w:rsidRPr="005A4B27">
        <w:rPr>
          <w:lang w:val="es-CO"/>
        </w:rPr>
        <w:t xml:space="preserve">araquidónico y docosahexaenoico] </w:t>
      </w:r>
      <w:r w:rsidRPr="005A4B27">
        <w:rPr>
          <w:lang w:val="es-CO"/>
        </w:rPr>
        <w:t xml:space="preserve">para </w:t>
      </w:r>
      <w:r w:rsidR="00C076CD" w:rsidRPr="005A4B27">
        <w:rPr>
          <w:lang w:val="es-CO"/>
        </w:rPr>
        <w:t>imitar la leche materna</w:t>
      </w:r>
      <w:r w:rsidR="00D1511B" w:rsidRPr="005A4B27">
        <w:rPr>
          <w:lang w:val="es-CO"/>
        </w:rPr>
        <w:t>.</w:t>
      </w:r>
    </w:p>
    <w:p w:rsidR="00D1511B" w:rsidRPr="005A4B27" w:rsidRDefault="00D1511B" w:rsidP="00396753">
      <w:pPr>
        <w:jc w:val="both"/>
        <w:rPr>
          <w:lang w:val="es-CO"/>
        </w:rPr>
      </w:pPr>
      <w:r w:rsidRPr="005A4B27">
        <w:rPr>
          <w:lang w:val="es-CO"/>
        </w:rPr>
        <w:tab/>
        <w:t xml:space="preserve">Volviendo a Steve, ya era demasiado tarde para conseguir aceite de coco antes de la primera selección. </w:t>
      </w:r>
      <w:r w:rsidR="00214BFF" w:rsidRPr="005A4B27">
        <w:rPr>
          <w:lang w:val="es-CO"/>
        </w:rPr>
        <w:t>Por el camino</w:t>
      </w:r>
      <w:r w:rsidRPr="005A4B27">
        <w:rPr>
          <w:lang w:val="es-CO"/>
        </w:rPr>
        <w:t xml:space="preserve">, le recordé repetidas veces que estábamos en St. Petersburg, en el Condado de Pinellas. </w:t>
      </w:r>
      <w:r w:rsidR="00214BFF" w:rsidRPr="005A4B27">
        <w:rPr>
          <w:lang w:val="es-CO"/>
        </w:rPr>
        <w:t>En el MMSE</w:t>
      </w:r>
      <w:r w:rsidRPr="005A4B27">
        <w:rPr>
          <w:lang w:val="es-CO"/>
        </w:rPr>
        <w:t xml:space="preserve"> recordó la ciudad pero no el condado, y no pudo recordar la estación</w:t>
      </w:r>
      <w:r w:rsidR="00446AFE" w:rsidRPr="005A4B27">
        <w:rPr>
          <w:lang w:val="es-CO"/>
        </w:rPr>
        <w:t xml:space="preserve"> del año</w:t>
      </w:r>
      <w:r w:rsidRPr="005A4B27">
        <w:rPr>
          <w:lang w:val="es-CO"/>
        </w:rPr>
        <w:t xml:space="preserve">, el mes y tampoco el día de la semana y menos aún la fecha, aunque había tenido que poner sus iniciales y la fecha en numerosas páginas de consentimiento antes de someterse al MMSE. En cada página hubo que recordarle dónde poner sus iniciales y la fecha e incluso cómo escribir la fecha. </w:t>
      </w:r>
      <w:r w:rsidR="00347D57" w:rsidRPr="005A4B27">
        <w:rPr>
          <w:lang w:val="es-CO"/>
        </w:rPr>
        <w:t xml:space="preserve">Obtuvo un puntaje de 14, demasiado bajo para participar en el estudio. La </w:t>
      </w:r>
      <w:r w:rsidR="00214BFF" w:rsidRPr="005A4B27">
        <w:rPr>
          <w:lang w:val="es-CO"/>
        </w:rPr>
        <w:t>D</w:t>
      </w:r>
      <w:r w:rsidR="00347D57" w:rsidRPr="005A4B27">
        <w:rPr>
          <w:lang w:val="es-CO"/>
        </w:rPr>
        <w:t xml:space="preserve">ra. Margarita Núñez </w:t>
      </w:r>
      <w:r w:rsidR="00214BFF" w:rsidRPr="005A4B27">
        <w:rPr>
          <w:lang w:val="es-CO"/>
        </w:rPr>
        <w:t xml:space="preserve">nos </w:t>
      </w:r>
      <w:r w:rsidR="00E74557" w:rsidRPr="005A4B27">
        <w:rPr>
          <w:lang w:val="es-CO"/>
        </w:rPr>
        <w:t>dedicó</w:t>
      </w:r>
      <w:r w:rsidR="00214BFF" w:rsidRPr="005A4B27">
        <w:rPr>
          <w:lang w:val="es-CO"/>
        </w:rPr>
        <w:t xml:space="preserve"> bastante tiempo,</w:t>
      </w:r>
      <w:r w:rsidR="00347D57" w:rsidRPr="005A4B27">
        <w:rPr>
          <w:lang w:val="es-CO"/>
        </w:rPr>
        <w:t xml:space="preserve"> le pidió a Steven que dibujara un reloj (véase reloj #1), y nos explicó que esa era una prueba específica </w:t>
      </w:r>
      <w:r w:rsidR="009F5C9C" w:rsidRPr="005A4B27">
        <w:rPr>
          <w:lang w:val="es-CO"/>
        </w:rPr>
        <w:t>para el Al</w:t>
      </w:r>
      <w:r w:rsidR="00347D57" w:rsidRPr="005A4B27">
        <w:rPr>
          <w:lang w:val="es-CO"/>
        </w:rPr>
        <w:t xml:space="preserve">zheimer. </w:t>
      </w:r>
      <w:r w:rsidR="00214BFF" w:rsidRPr="005A4B27">
        <w:rPr>
          <w:lang w:val="es-CO"/>
        </w:rPr>
        <w:t>Luego m</w:t>
      </w:r>
      <w:r w:rsidR="009F5C9C" w:rsidRPr="005A4B27">
        <w:rPr>
          <w:lang w:val="es-CO"/>
        </w:rPr>
        <w:t xml:space="preserve">e llevó aparte y me dijo que el “reloj” de Steven indicaba que su Alzheimer </w:t>
      </w:r>
      <w:r w:rsidR="00266757" w:rsidRPr="005A4B27">
        <w:rPr>
          <w:lang w:val="es-CO"/>
        </w:rPr>
        <w:t>era</w:t>
      </w:r>
      <w:r w:rsidR="009F5C9C" w:rsidRPr="005A4B27">
        <w:rPr>
          <w:lang w:val="es-CO"/>
        </w:rPr>
        <w:t xml:space="preserve"> más severo que moderado, una revelación devastadora mas no sorpresiva</w:t>
      </w:r>
      <w:r w:rsidR="00801846" w:rsidRPr="005A4B27">
        <w:rPr>
          <w:lang w:val="es-CO"/>
        </w:rPr>
        <w:t xml:space="preserve"> para mí,</w:t>
      </w:r>
      <w:r w:rsidR="009F5C9C" w:rsidRPr="005A4B27">
        <w:rPr>
          <w:lang w:val="es-CO"/>
        </w:rPr>
        <w:t xml:space="preserve"> su esposa </w:t>
      </w:r>
      <w:r w:rsidR="00541389" w:rsidRPr="005A4B27">
        <w:rPr>
          <w:lang w:val="es-CO"/>
        </w:rPr>
        <w:t>de</w:t>
      </w:r>
      <w:r w:rsidR="009F5C9C" w:rsidRPr="005A4B27">
        <w:rPr>
          <w:lang w:val="es-CO"/>
        </w:rPr>
        <w:t xml:space="preserve"> 36 años y ahora su cuidadora.</w:t>
      </w:r>
    </w:p>
    <w:p w:rsidR="00801846" w:rsidRPr="005A4B27" w:rsidRDefault="00801846" w:rsidP="00396753">
      <w:pPr>
        <w:jc w:val="both"/>
        <w:rPr>
          <w:lang w:val="es-CO"/>
        </w:rPr>
      </w:pPr>
      <w:r w:rsidRPr="005A4B27">
        <w:rPr>
          <w:lang w:val="es-CO"/>
        </w:rPr>
        <w:tab/>
      </w:r>
      <w:r w:rsidR="00AE7C7C" w:rsidRPr="005A4B27">
        <w:rPr>
          <w:lang w:val="es-CO"/>
        </w:rPr>
        <w:t>En el camino de vuelta a casa, empecé a pensar qué</w:t>
      </w:r>
      <w:r w:rsidRPr="005A4B27">
        <w:rPr>
          <w:lang w:val="es-CO"/>
        </w:rPr>
        <w:t xml:space="preserve"> </w:t>
      </w:r>
      <w:r w:rsidR="00AE7C7C" w:rsidRPr="005A4B27">
        <w:rPr>
          <w:lang w:val="es-CO"/>
        </w:rPr>
        <w:t>podemos</w:t>
      </w:r>
      <w:r w:rsidRPr="005A4B27">
        <w:rPr>
          <w:lang w:val="es-CO"/>
        </w:rPr>
        <w:t xml:space="preserve"> perder,</w:t>
      </w:r>
      <w:r w:rsidR="00AE7C7C" w:rsidRPr="005A4B27">
        <w:rPr>
          <w:lang w:val="es-CO"/>
        </w:rPr>
        <w:t xml:space="preserve"> así que nos detuvimos en una tienda naturista y compré un cuarto de galón de aceite de coco “virgen” </w:t>
      </w:r>
      <w:r w:rsidR="00B52AC1" w:rsidRPr="005A4B27">
        <w:rPr>
          <w:lang w:val="es-CO"/>
        </w:rPr>
        <w:t xml:space="preserve">100%. Calculé que para obtener 20 gramos de </w:t>
      </w:r>
      <w:r w:rsidR="0017093E" w:rsidRPr="005A4B27">
        <w:rPr>
          <w:lang w:val="es-CO"/>
        </w:rPr>
        <w:t>TCM</w:t>
      </w:r>
      <w:r w:rsidR="00B52AC1" w:rsidRPr="005A4B27">
        <w:rPr>
          <w:lang w:val="es-CO"/>
        </w:rPr>
        <w:t xml:space="preserve">, Steve tendría que tomar 35 gramos o </w:t>
      </w:r>
      <w:r w:rsidR="00A317AA" w:rsidRPr="005A4B27">
        <w:rPr>
          <w:lang w:val="es-CO"/>
        </w:rPr>
        <w:t xml:space="preserve">sea </w:t>
      </w:r>
      <w:r w:rsidR="00B52AC1" w:rsidRPr="005A4B27">
        <w:rPr>
          <w:lang w:val="es-CO"/>
        </w:rPr>
        <w:t xml:space="preserve">un poco más de dos cucharadas (35 ml o 7 cucharadas rasas). La mañana siguiente, alrededor de las 9 a.m., preparé avena para el desayuno y le revolví dos cucharadas y un poco más </w:t>
      </w:r>
      <w:r w:rsidR="00F90B77" w:rsidRPr="005A4B27">
        <w:rPr>
          <w:lang w:val="es-CO"/>
        </w:rPr>
        <w:t>de</w:t>
      </w:r>
      <w:r w:rsidR="00B52AC1" w:rsidRPr="005A4B27">
        <w:rPr>
          <w:lang w:val="es-CO"/>
        </w:rPr>
        <w:t xml:space="preserve"> “buena suerte” a la porción de Steve</w:t>
      </w:r>
      <w:r w:rsidR="00490B48" w:rsidRPr="005A4B27">
        <w:rPr>
          <w:lang w:val="es-CO"/>
        </w:rPr>
        <w:t>. Yo también desayuné un poco de lo mismo, porque no podía esperar que él comiera algo que yo no fuera a comer.</w:t>
      </w:r>
    </w:p>
    <w:p w:rsidR="00490B48" w:rsidRPr="005A4B27" w:rsidRDefault="00490B48" w:rsidP="00396753">
      <w:pPr>
        <w:jc w:val="both"/>
        <w:rPr>
          <w:lang w:val="es-CO"/>
        </w:rPr>
      </w:pPr>
      <w:r w:rsidRPr="005A4B27">
        <w:rPr>
          <w:lang w:val="es-CO"/>
        </w:rPr>
        <w:tab/>
        <w:t>Cuando íbamos para la selección de la 1:00 p.m., traté de preparar a Steve preguntándole por la estación</w:t>
      </w:r>
      <w:r w:rsidR="00F90B77" w:rsidRPr="005A4B27">
        <w:rPr>
          <w:lang w:val="es-CO"/>
        </w:rPr>
        <w:t xml:space="preserve"> del año</w:t>
      </w:r>
      <w:r w:rsidRPr="005A4B27">
        <w:rPr>
          <w:lang w:val="es-CO"/>
        </w:rPr>
        <w:t>, el mes, el día de la semana,</w:t>
      </w:r>
      <w:r w:rsidR="00990D91" w:rsidRPr="005A4B27">
        <w:rPr>
          <w:lang w:val="es-CO"/>
        </w:rPr>
        <w:t xml:space="preserve"> </w:t>
      </w:r>
      <w:r w:rsidR="00F90B77" w:rsidRPr="005A4B27">
        <w:rPr>
          <w:lang w:val="es-CO"/>
        </w:rPr>
        <w:t xml:space="preserve">y </w:t>
      </w:r>
      <w:r w:rsidR="00990D91" w:rsidRPr="005A4B27">
        <w:rPr>
          <w:lang w:val="es-CO"/>
        </w:rPr>
        <w:t>le recordé que íbamos a Tampa, en el condado de Hillsborough. No pudo recordar la palabra “primavera”</w:t>
      </w:r>
      <w:r w:rsidR="00B3237D" w:rsidRPr="005A4B27">
        <w:rPr>
          <w:lang w:val="es-CO"/>
        </w:rPr>
        <w:t>, dijo abril en vez de mayo cada vez que le pregunté por el mes y no pudo recordar que era miércoles. Durante la hora que duró el trayecto, repasamos todo lo anterior por lo menos diez veces, pero no lo pudo recordar. Apenas llegamos, se lo llevaron para hacer las pruebas, unas 4 horas y media después de haber consumido el aceite de coco. Steve regresó muy descontento con lo que había hecho en la prueba. Laura, la coordinadora de la investigación, v</w:t>
      </w:r>
      <w:r w:rsidR="00F90B77" w:rsidRPr="005A4B27">
        <w:rPr>
          <w:lang w:val="es-CO"/>
        </w:rPr>
        <w:t>ino</w:t>
      </w:r>
      <w:r w:rsidR="00B3237D" w:rsidRPr="005A4B27">
        <w:rPr>
          <w:lang w:val="es-CO"/>
        </w:rPr>
        <w:t xml:space="preserve"> poco después para tomarle presión y signos vitales, y, </w:t>
      </w:r>
      <w:r w:rsidR="00BB7F04" w:rsidRPr="005A4B27">
        <w:rPr>
          <w:lang w:val="es-CO"/>
        </w:rPr>
        <w:t xml:space="preserve">sospechando </w:t>
      </w:r>
      <w:r w:rsidR="00B3237D" w:rsidRPr="005A4B27">
        <w:rPr>
          <w:lang w:val="es-CO"/>
        </w:rPr>
        <w:t xml:space="preserve">que </w:t>
      </w:r>
      <w:r w:rsidR="00BB7F04" w:rsidRPr="005A4B27">
        <w:rPr>
          <w:lang w:val="es-CO"/>
        </w:rPr>
        <w:t>seguíamos en el</w:t>
      </w:r>
      <w:r w:rsidR="00B3237D" w:rsidRPr="005A4B27">
        <w:rPr>
          <w:lang w:val="es-CO"/>
        </w:rPr>
        <w:t xml:space="preserve"> proceso de selección, </w:t>
      </w:r>
      <w:r w:rsidR="00BB7F04" w:rsidRPr="005A4B27">
        <w:rPr>
          <w:lang w:val="es-CO"/>
        </w:rPr>
        <w:t>le pregunté si nos podía contar cuál había sido el puntaje. Ella respondió, “¿No se lo dijo? ¡Obtuvo 18!”</w:t>
      </w:r>
      <w:r w:rsidR="00A317AA" w:rsidRPr="005A4B27">
        <w:rPr>
          <w:lang w:val="es-CO"/>
        </w:rPr>
        <w:t>,</w:t>
      </w:r>
      <w:r w:rsidR="00BB7F04" w:rsidRPr="005A4B27">
        <w:rPr>
          <w:lang w:val="es-CO"/>
        </w:rPr>
        <w:t xml:space="preserve"> más de lo que necesitaba para calificar participar en el </w:t>
      </w:r>
      <w:r w:rsidR="00E74557" w:rsidRPr="005A4B27">
        <w:rPr>
          <w:lang w:val="es-CO"/>
        </w:rPr>
        <w:t>estudio</w:t>
      </w:r>
      <w:r w:rsidR="00BB7F04" w:rsidRPr="005A4B27">
        <w:rPr>
          <w:lang w:val="es-CO"/>
        </w:rPr>
        <w:t xml:space="preserve"> de la vacuna. Steve recordó que estábamos en primavera, en abril y que era miércoles, que estaba en Tampa, en el condado de Hillsborough y que estábamos en el Byrd Institute, puntos todos que no había atinado a responder correctamente en la USF. </w:t>
      </w:r>
      <w:r w:rsidR="0073733F" w:rsidRPr="005A4B27">
        <w:rPr>
          <w:lang w:val="es-CO"/>
        </w:rPr>
        <w:t xml:space="preserve">Como resultado de </w:t>
      </w:r>
      <w:r w:rsidR="00BB7F04" w:rsidRPr="005A4B27">
        <w:rPr>
          <w:lang w:val="es-CO"/>
        </w:rPr>
        <w:t xml:space="preserve">esta selección, supimos que </w:t>
      </w:r>
      <w:r w:rsidR="0073733F" w:rsidRPr="005A4B27">
        <w:rPr>
          <w:lang w:val="es-CO"/>
        </w:rPr>
        <w:t xml:space="preserve">Steve </w:t>
      </w:r>
      <w:r w:rsidR="00C97E19" w:rsidRPr="005A4B27">
        <w:rPr>
          <w:lang w:val="es-CO"/>
        </w:rPr>
        <w:t>era</w:t>
      </w:r>
      <w:r w:rsidR="00BB7F04" w:rsidRPr="005A4B27">
        <w:rPr>
          <w:lang w:val="es-CO"/>
        </w:rPr>
        <w:t xml:space="preserve"> APOE4</w:t>
      </w:r>
      <w:r w:rsidR="00C97E19" w:rsidRPr="005A4B27">
        <w:rPr>
          <w:lang w:val="es-CO"/>
        </w:rPr>
        <w:t xml:space="preserve"> positivo</w:t>
      </w:r>
      <w:r w:rsidR="00BB7F04" w:rsidRPr="005A4B27">
        <w:rPr>
          <w:lang w:val="es-CO"/>
        </w:rPr>
        <w:t xml:space="preserve"> [</w:t>
      </w:r>
      <w:r w:rsidR="00687277" w:rsidRPr="005A4B27">
        <w:rPr>
          <w:lang w:val="es-CO"/>
        </w:rPr>
        <w:t xml:space="preserve">acrónimo en inglés de </w:t>
      </w:r>
      <w:r w:rsidR="00BB7F04" w:rsidRPr="005A4B27">
        <w:rPr>
          <w:i/>
          <w:lang w:val="es-CO"/>
        </w:rPr>
        <w:t>Apolipoprote</w:t>
      </w:r>
      <w:r w:rsidR="00687277" w:rsidRPr="005A4B27">
        <w:rPr>
          <w:i/>
          <w:lang w:val="es-CO"/>
        </w:rPr>
        <w:t>in E</w:t>
      </w:r>
      <w:r w:rsidR="00687277" w:rsidRPr="005A4B27">
        <w:rPr>
          <w:lang w:val="es-CO"/>
        </w:rPr>
        <w:t xml:space="preserve"> ó Apoliporote</w:t>
      </w:r>
      <w:r w:rsidR="00BB7F04" w:rsidRPr="005A4B27">
        <w:rPr>
          <w:lang w:val="es-CO"/>
        </w:rPr>
        <w:t xml:space="preserve">ína E </w:t>
      </w:r>
      <w:r w:rsidR="0073733F" w:rsidRPr="005A4B27">
        <w:rPr>
          <w:lang w:val="es-CO"/>
        </w:rPr>
        <w:t xml:space="preserve">- </w:t>
      </w:r>
      <w:r w:rsidR="00BB7F04" w:rsidRPr="005A4B27">
        <w:rPr>
          <w:lang w:val="es-CO"/>
        </w:rPr>
        <w:t>factor genético de riesgo de padecer Alzheimer]</w:t>
      </w:r>
      <w:r w:rsidR="0073733F" w:rsidRPr="005A4B27">
        <w:rPr>
          <w:lang w:val="es-CO"/>
        </w:rPr>
        <w:t xml:space="preserve">, pero </w:t>
      </w:r>
      <w:r w:rsidR="00687277" w:rsidRPr="005A4B27">
        <w:rPr>
          <w:lang w:val="es-CO"/>
        </w:rPr>
        <w:t>en este momento</w:t>
      </w:r>
      <w:r w:rsidR="00BB7F04" w:rsidRPr="005A4B27">
        <w:rPr>
          <w:lang w:val="es-CO"/>
        </w:rPr>
        <w:t xml:space="preserve"> no sab</w:t>
      </w:r>
      <w:r w:rsidR="0073733F" w:rsidRPr="005A4B27">
        <w:rPr>
          <w:lang w:val="es-CO"/>
        </w:rPr>
        <w:t xml:space="preserve">emos si tiene </w:t>
      </w:r>
      <w:r w:rsidR="00BB7F04" w:rsidRPr="005A4B27">
        <w:rPr>
          <w:lang w:val="es-CO"/>
        </w:rPr>
        <w:t>una o dos copias.</w:t>
      </w:r>
    </w:p>
    <w:p w:rsidR="00BB7F04" w:rsidRPr="005A4B27" w:rsidRDefault="00BB7F04" w:rsidP="00396753">
      <w:pPr>
        <w:jc w:val="both"/>
        <w:rPr>
          <w:lang w:val="es-CO"/>
        </w:rPr>
      </w:pPr>
      <w:r w:rsidRPr="005A4B27">
        <w:rPr>
          <w:lang w:val="es-CO"/>
        </w:rPr>
        <w:tab/>
      </w:r>
      <w:r w:rsidR="0073733F" w:rsidRPr="005A4B27">
        <w:rPr>
          <w:lang w:val="es-CO"/>
        </w:rPr>
        <w:t xml:space="preserve">Según los estudios de Ketasyn, Steve no debería haber mejorado, debería haber permanecido más o menos igual. Después de lo anterior, volvió a presentarse </w:t>
      </w:r>
      <w:r w:rsidR="00A317AA" w:rsidRPr="005A4B27">
        <w:rPr>
          <w:lang w:val="es-CO"/>
        </w:rPr>
        <w:t xml:space="preserve">a la selección para </w:t>
      </w:r>
      <w:r w:rsidR="0073733F" w:rsidRPr="005A4B27">
        <w:rPr>
          <w:lang w:val="es-CO"/>
        </w:rPr>
        <w:t>el estudio del medicamento de Eli Lilly y obtuvo un puntaje de 17 en el MMSE –y esta vez hasta recordó la fecha: 2 de julio de 2008.</w:t>
      </w:r>
      <w:r w:rsidR="00797481" w:rsidRPr="005A4B27">
        <w:rPr>
          <w:lang w:val="es-CO"/>
        </w:rPr>
        <w:t xml:space="preserve"> Después de estudiar lo efectos secundarios posibles de la vacuna en personas APOE4+, decidimos que participaría en el del medicamento de Eli Lilly.</w:t>
      </w:r>
    </w:p>
    <w:p w:rsidR="00797481" w:rsidRPr="005A4B27" w:rsidRDefault="00797481" w:rsidP="00396753">
      <w:pPr>
        <w:jc w:val="both"/>
        <w:rPr>
          <w:lang w:val="es-CO"/>
        </w:rPr>
      </w:pPr>
      <w:r w:rsidRPr="005A4B27">
        <w:rPr>
          <w:lang w:val="es-CO"/>
        </w:rPr>
        <w:tab/>
        <w:t xml:space="preserve">A la fecha de este </w:t>
      </w:r>
      <w:r w:rsidR="005F519C" w:rsidRPr="005A4B27">
        <w:rPr>
          <w:lang w:val="es-CO"/>
        </w:rPr>
        <w:t>escrito</w:t>
      </w:r>
      <w:r w:rsidRPr="005A4B27">
        <w:rPr>
          <w:lang w:val="es-CO"/>
        </w:rPr>
        <w:t xml:space="preserve">, han pasado 60 días desde que empezó a tomar aceite de coco (21 de mayo de 2008). Cada mañana llega a la cocina alerta y alegre, hablador, </w:t>
      </w:r>
      <w:r w:rsidR="00EB343F" w:rsidRPr="005A4B27">
        <w:rPr>
          <w:lang w:val="es-CO"/>
        </w:rPr>
        <w:t xml:space="preserve">y </w:t>
      </w:r>
      <w:r w:rsidRPr="005A4B27">
        <w:rPr>
          <w:lang w:val="es-CO"/>
        </w:rPr>
        <w:t xml:space="preserve">bromeando. </w:t>
      </w:r>
      <w:r w:rsidR="00A317AA" w:rsidRPr="005A4B27">
        <w:rPr>
          <w:lang w:val="es-CO"/>
        </w:rPr>
        <w:t>Aunque s</w:t>
      </w:r>
      <w:r w:rsidRPr="005A4B27">
        <w:rPr>
          <w:lang w:val="es-CO"/>
        </w:rPr>
        <w:t>u modo de andar todavía es un poco extraño</w:t>
      </w:r>
      <w:r w:rsidR="00A317AA" w:rsidRPr="005A4B27">
        <w:rPr>
          <w:lang w:val="es-CO"/>
        </w:rPr>
        <w:t>,</w:t>
      </w:r>
      <w:r w:rsidRPr="005A4B27">
        <w:rPr>
          <w:lang w:val="es-CO"/>
        </w:rPr>
        <w:t xml:space="preserve"> el temblor ya no es tan notorio. Puede concentrarse en las cosas que quiere hacer </w:t>
      </w:r>
      <w:r w:rsidR="00063E80" w:rsidRPr="005A4B27">
        <w:rPr>
          <w:lang w:val="es-CO"/>
        </w:rPr>
        <w:t>por toda la c</w:t>
      </w:r>
      <w:r w:rsidRPr="005A4B27">
        <w:rPr>
          <w:lang w:val="es-CO"/>
        </w:rPr>
        <w:t xml:space="preserve">asa y en el patio </w:t>
      </w:r>
      <w:r w:rsidR="000E55CE" w:rsidRPr="005A4B27">
        <w:rPr>
          <w:lang w:val="es-CO"/>
        </w:rPr>
        <w:t>posterior</w:t>
      </w:r>
      <w:r w:rsidRPr="005A4B27">
        <w:rPr>
          <w:lang w:val="es-CO"/>
        </w:rPr>
        <w:t xml:space="preserve"> y completar la tarea, mientras que antes del aceite de coco se distraía fácilmente y rara vez terminaba de hacer algo a menos que yo lo supervisara directamente, ¡lo que todavía es motivo de </w:t>
      </w:r>
      <w:r w:rsidR="00A317AA" w:rsidRPr="005A4B27">
        <w:rPr>
          <w:lang w:val="es-CO"/>
        </w:rPr>
        <w:t>algunas</w:t>
      </w:r>
      <w:r w:rsidR="00063E80" w:rsidRPr="005A4B27">
        <w:rPr>
          <w:lang w:val="es-CO"/>
        </w:rPr>
        <w:t xml:space="preserve"> </w:t>
      </w:r>
      <w:r w:rsidRPr="005A4B27">
        <w:rPr>
          <w:lang w:val="es-CO"/>
        </w:rPr>
        <w:t>discus</w:t>
      </w:r>
      <w:r w:rsidR="00063E80" w:rsidRPr="005A4B27">
        <w:rPr>
          <w:lang w:val="es-CO"/>
        </w:rPr>
        <w:t>i</w:t>
      </w:r>
      <w:r w:rsidR="00A317AA" w:rsidRPr="005A4B27">
        <w:rPr>
          <w:lang w:val="es-CO"/>
        </w:rPr>
        <w:t>ones</w:t>
      </w:r>
      <w:r w:rsidRPr="005A4B27">
        <w:rPr>
          <w:lang w:val="es-CO"/>
        </w:rPr>
        <w:t xml:space="preserve"> entre nosotros!</w:t>
      </w:r>
    </w:p>
    <w:p w:rsidR="00063E80" w:rsidRPr="005A4B27" w:rsidRDefault="00063E80" w:rsidP="00396753">
      <w:pPr>
        <w:jc w:val="both"/>
        <w:rPr>
          <w:lang w:val="es-CO"/>
        </w:rPr>
      </w:pPr>
      <w:r w:rsidRPr="005A4B27">
        <w:rPr>
          <w:lang w:val="es-CO"/>
        </w:rPr>
        <w:tab/>
        <w:t xml:space="preserve">Después de unas dos semanas, y </w:t>
      </w:r>
      <w:r w:rsidR="000E55CE" w:rsidRPr="005A4B27">
        <w:rPr>
          <w:lang w:val="es-CO"/>
        </w:rPr>
        <w:t>también después de</w:t>
      </w:r>
      <w:r w:rsidRPr="005A4B27">
        <w:rPr>
          <w:lang w:val="es-CO"/>
        </w:rPr>
        <w:t xml:space="preserve"> 37 días de haber empezado con el aceite de coco, le pedí que dibujara un reloj (véa</w:t>
      </w:r>
      <w:r w:rsidR="00CA0AE8" w:rsidRPr="005A4B27">
        <w:rPr>
          <w:lang w:val="es-CO"/>
        </w:rPr>
        <w:t>n</w:t>
      </w:r>
      <w:r w:rsidRPr="005A4B27">
        <w:rPr>
          <w:lang w:val="es-CO"/>
        </w:rPr>
        <w:t xml:space="preserve">se relojes #2 y #3). Es obvia una marcada mejoría y pueden creerme que no le ayudé para nada. Steve me dice que para </w:t>
      </w:r>
      <w:r w:rsidR="00A317AA" w:rsidRPr="005A4B27">
        <w:rPr>
          <w:lang w:val="es-CO"/>
        </w:rPr>
        <w:t xml:space="preserve">la </w:t>
      </w:r>
      <w:r w:rsidRPr="005A4B27">
        <w:rPr>
          <w:lang w:val="es-CO"/>
        </w:rPr>
        <w:t>selección de St. Petersburg, él ni siquiera se podía imaginar un reloj, pero en estos dos últimos intentos, estuvo muy pendiente de que el 6 queda opuesto al 12 y el 9 opuesto al 3 en la esfera del reloj</w:t>
      </w:r>
      <w:r w:rsidR="00CA0AE8" w:rsidRPr="005A4B27">
        <w:rPr>
          <w:lang w:val="es-CO"/>
        </w:rPr>
        <w:t xml:space="preserve"> y trazó</w:t>
      </w:r>
      <w:r w:rsidRPr="005A4B27">
        <w:rPr>
          <w:lang w:val="es-CO"/>
        </w:rPr>
        <w:t xml:space="preserve"> “rayos” para ayudarse a alinearlos. Yo no le pedí que tratara de poner la hora, que es lo siguiente en esa prueba.</w:t>
      </w:r>
    </w:p>
    <w:p w:rsidR="00063E80" w:rsidRPr="00925E4A" w:rsidRDefault="00063E80" w:rsidP="00396753">
      <w:pPr>
        <w:jc w:val="both"/>
        <w:rPr>
          <w:lang w:val="es-CO"/>
        </w:rPr>
      </w:pPr>
      <w:r w:rsidRPr="005A4B27">
        <w:rPr>
          <w:lang w:val="es-CO"/>
        </w:rPr>
        <w:tab/>
        <w:t xml:space="preserve">Steve lleva por lo menos </w:t>
      </w:r>
      <w:r w:rsidR="00A317AA" w:rsidRPr="005A4B27">
        <w:rPr>
          <w:lang w:val="es-CO"/>
        </w:rPr>
        <w:t xml:space="preserve">dos </w:t>
      </w:r>
      <w:r w:rsidRPr="005A4B27">
        <w:rPr>
          <w:lang w:val="es-CO"/>
        </w:rPr>
        <w:t xml:space="preserve">años sin poder </w:t>
      </w:r>
      <w:r w:rsidRPr="00B97E7B">
        <w:rPr>
          <w:lang w:val="es-CO"/>
        </w:rPr>
        <w:t>mecanografiar</w:t>
      </w:r>
      <w:r w:rsidRPr="005A4B27">
        <w:rPr>
          <w:lang w:val="es-CO"/>
        </w:rPr>
        <w:t xml:space="preserve">, pero siente que puede </w:t>
      </w:r>
      <w:r w:rsidR="00A10A70" w:rsidRPr="005A4B27">
        <w:rPr>
          <w:lang w:val="es-CO"/>
        </w:rPr>
        <w:t>recorda</w:t>
      </w:r>
      <w:r w:rsidRPr="005A4B27">
        <w:rPr>
          <w:lang w:val="es-CO"/>
        </w:rPr>
        <w:t xml:space="preserve">r la posición de las letras en el teclado. En este momento teme sentarse y </w:t>
      </w:r>
      <w:r w:rsidR="00A10A70" w:rsidRPr="005A4B27">
        <w:rPr>
          <w:lang w:val="es-CO"/>
        </w:rPr>
        <w:t>tra</w:t>
      </w:r>
      <w:r w:rsidRPr="005A4B27">
        <w:rPr>
          <w:lang w:val="es-CO"/>
        </w:rPr>
        <w:t>tar de</w:t>
      </w:r>
      <w:r w:rsidR="00A10A70" w:rsidRPr="005A4B27">
        <w:rPr>
          <w:lang w:val="es-CO"/>
        </w:rPr>
        <w:t xml:space="preserve"> mecanografiar pues le preocupa descorazonarse si no logra hacerlo enseguida. Estamos considerando probar si con terapia ocupacional puede volver a aprender algunas de las destrezas que ha perdido. </w:t>
      </w:r>
      <w:r w:rsidR="00A52D6F" w:rsidRPr="00925E4A">
        <w:rPr>
          <w:lang w:val="es-CO"/>
        </w:rPr>
        <w:t xml:space="preserve">Yo no puedo explicar </w:t>
      </w:r>
      <w:r w:rsidR="00B97E7B" w:rsidRPr="00925E4A">
        <w:rPr>
          <w:lang w:val="es-CO"/>
        </w:rPr>
        <w:t>qué es lo que lo ha hecho mejorar</w:t>
      </w:r>
      <w:r w:rsidR="00A10A70" w:rsidRPr="00925E4A">
        <w:rPr>
          <w:lang w:val="es-CO"/>
        </w:rPr>
        <w:t xml:space="preserve">, </w:t>
      </w:r>
      <w:r w:rsidR="00A52D6F" w:rsidRPr="00925E4A">
        <w:rPr>
          <w:lang w:val="es-CO"/>
        </w:rPr>
        <w:t>excepto que quizás</w:t>
      </w:r>
      <w:r w:rsidR="00A10A70" w:rsidRPr="00925E4A">
        <w:rPr>
          <w:lang w:val="es-CO"/>
        </w:rPr>
        <w:t xml:space="preserve"> las cadenas de 10 y 12 carbonos son importantes, o que las personas APOE4 de los estudios de Ketasyn no </w:t>
      </w:r>
      <w:r w:rsidR="002D0DA4" w:rsidRPr="00925E4A">
        <w:rPr>
          <w:lang w:val="es-CO"/>
        </w:rPr>
        <w:t>estaban tomando</w:t>
      </w:r>
      <w:r w:rsidR="00A10A70" w:rsidRPr="00925E4A">
        <w:rPr>
          <w:lang w:val="es-CO"/>
        </w:rPr>
        <w:t xml:space="preserve"> ácidos grasos omega-3. Nosotros comemos </w:t>
      </w:r>
      <w:r w:rsidR="00E74557" w:rsidRPr="00925E4A">
        <w:rPr>
          <w:lang w:val="es-CO"/>
        </w:rPr>
        <w:t>salmón</w:t>
      </w:r>
      <w:r w:rsidR="00A10A70" w:rsidRPr="00925E4A">
        <w:rPr>
          <w:lang w:val="es-CO"/>
        </w:rPr>
        <w:t xml:space="preserve"> por lo menos dos veces por semana y tomamos suplementos de aceite de pescado dos veces al día, </w:t>
      </w:r>
      <w:r w:rsidR="002D0DA4" w:rsidRPr="00925E4A">
        <w:rPr>
          <w:lang w:val="es-CO"/>
        </w:rPr>
        <w:t xml:space="preserve">y </w:t>
      </w:r>
      <w:r w:rsidR="00A10A70" w:rsidRPr="00925E4A">
        <w:rPr>
          <w:lang w:val="es-CO"/>
        </w:rPr>
        <w:t>lo</w:t>
      </w:r>
      <w:r w:rsidR="002D0DA4" w:rsidRPr="00925E4A">
        <w:rPr>
          <w:lang w:val="es-CO"/>
        </w:rPr>
        <w:t xml:space="preserve"> lo hemos</w:t>
      </w:r>
      <w:r w:rsidR="00A10A70" w:rsidRPr="00925E4A">
        <w:rPr>
          <w:lang w:val="es-CO"/>
        </w:rPr>
        <w:t xml:space="preserve"> veni</w:t>
      </w:r>
      <w:r w:rsidR="002D0DA4" w:rsidRPr="00925E4A">
        <w:rPr>
          <w:lang w:val="es-CO"/>
        </w:rPr>
        <w:t>do</w:t>
      </w:r>
      <w:r w:rsidR="00A10A70" w:rsidRPr="00925E4A">
        <w:rPr>
          <w:lang w:val="es-CO"/>
        </w:rPr>
        <w:t xml:space="preserve"> haciendo </w:t>
      </w:r>
      <w:r w:rsidR="002D0DA4" w:rsidRPr="00925E4A">
        <w:rPr>
          <w:lang w:val="es-CO"/>
        </w:rPr>
        <w:t xml:space="preserve">desde </w:t>
      </w:r>
      <w:r w:rsidR="00A10A70" w:rsidRPr="00925E4A">
        <w:rPr>
          <w:lang w:val="es-CO"/>
        </w:rPr>
        <w:t>hace unos dos años.</w:t>
      </w:r>
    </w:p>
    <w:p w:rsidR="00A10A70" w:rsidRPr="005A4B27" w:rsidRDefault="00A317AA" w:rsidP="00396753">
      <w:pPr>
        <w:jc w:val="both"/>
        <w:rPr>
          <w:lang w:val="es-CO"/>
        </w:rPr>
      </w:pPr>
      <w:r w:rsidRPr="00925E4A">
        <w:rPr>
          <w:lang w:val="es-CO"/>
        </w:rPr>
        <w:tab/>
        <w:t>He investigado en internet</w:t>
      </w:r>
      <w:r w:rsidR="00A10A70" w:rsidRPr="00925E4A">
        <w:rPr>
          <w:lang w:val="es-CO"/>
        </w:rPr>
        <w:t xml:space="preserve"> todo lo que he podido sobre el aceite de coco, el aceite </w:t>
      </w:r>
      <w:r w:rsidR="0017093E" w:rsidRPr="00925E4A">
        <w:rPr>
          <w:lang w:val="es-CO"/>
        </w:rPr>
        <w:t>de TCM</w:t>
      </w:r>
      <w:r w:rsidR="00A10A70" w:rsidRPr="00925E4A">
        <w:rPr>
          <w:lang w:val="es-CO"/>
        </w:rPr>
        <w:t xml:space="preserve">, los ácidos grasos, los cuerpos </w:t>
      </w:r>
      <w:r w:rsidR="00B97E7B" w:rsidRPr="00925E4A">
        <w:rPr>
          <w:lang w:val="es-CO"/>
        </w:rPr>
        <w:t>cetónicos</w:t>
      </w:r>
      <w:r w:rsidR="00A10A70" w:rsidRPr="00925E4A">
        <w:rPr>
          <w:lang w:val="es-CO"/>
        </w:rPr>
        <w:t>, la</w:t>
      </w:r>
      <w:r w:rsidR="00A10A70" w:rsidRPr="005A4B27">
        <w:rPr>
          <w:lang w:val="es-CO"/>
        </w:rPr>
        <w:t xml:space="preserve"> composición de </w:t>
      </w:r>
      <w:r w:rsidR="00415E32" w:rsidRPr="005A4B27">
        <w:rPr>
          <w:lang w:val="es-CO"/>
        </w:rPr>
        <w:t>ácido graso en la leche materna</w:t>
      </w:r>
      <w:r w:rsidR="00A10A70" w:rsidRPr="005A4B27">
        <w:rPr>
          <w:lang w:val="es-CO"/>
        </w:rPr>
        <w:t>, las cetonas</w:t>
      </w:r>
      <w:r w:rsidRPr="005A4B27">
        <w:rPr>
          <w:lang w:val="es-CO"/>
        </w:rPr>
        <w:t xml:space="preserve"> </w:t>
      </w:r>
      <w:r w:rsidR="00A10A70" w:rsidRPr="005A4B27">
        <w:rPr>
          <w:lang w:val="es-CO"/>
        </w:rPr>
        <w:t xml:space="preserve">y diversas enfermedades. Cuando busqué sobre cuerpos </w:t>
      </w:r>
      <w:r w:rsidR="00B97E7B" w:rsidRPr="00925E4A">
        <w:rPr>
          <w:lang w:val="es-CO"/>
        </w:rPr>
        <w:t>cetónicos</w:t>
      </w:r>
      <w:r w:rsidR="00A10A70" w:rsidRPr="005A4B27">
        <w:rPr>
          <w:lang w:val="es-CO"/>
        </w:rPr>
        <w:t xml:space="preserve">, encontré el nombre del </w:t>
      </w:r>
      <w:r w:rsidRPr="005A4B27">
        <w:rPr>
          <w:lang w:val="es-CO"/>
        </w:rPr>
        <w:t>D</w:t>
      </w:r>
      <w:r w:rsidR="00A10A70" w:rsidRPr="005A4B27">
        <w:rPr>
          <w:lang w:val="es-CO"/>
        </w:rPr>
        <w:t>r. Richard Veech de National Ins</w:t>
      </w:r>
      <w:r w:rsidR="00A52D6F" w:rsidRPr="005A4B27">
        <w:rPr>
          <w:lang w:val="es-CO"/>
        </w:rPr>
        <w:t>ti</w:t>
      </w:r>
      <w:r w:rsidR="00A10A70" w:rsidRPr="005A4B27">
        <w:rPr>
          <w:lang w:val="es-CO"/>
        </w:rPr>
        <w:t>tutes of Health. Lo contacté para preguntarle sobre todo esto</w:t>
      </w:r>
      <w:r w:rsidR="00611F9C" w:rsidRPr="005A4B27">
        <w:rPr>
          <w:lang w:val="es-CO"/>
        </w:rPr>
        <w:t>,</w:t>
      </w:r>
      <w:r w:rsidR="00A10A70" w:rsidRPr="005A4B27">
        <w:rPr>
          <w:lang w:val="es-CO"/>
        </w:rPr>
        <w:t xml:space="preserve"> me respondió muy amablemente </w:t>
      </w:r>
      <w:r w:rsidR="00611F9C" w:rsidRPr="005A4B27">
        <w:rPr>
          <w:lang w:val="es-CO"/>
        </w:rPr>
        <w:t>y además me env</w:t>
      </w:r>
      <w:r w:rsidRPr="005A4B27">
        <w:rPr>
          <w:lang w:val="es-CO"/>
        </w:rPr>
        <w:t>ió</w:t>
      </w:r>
      <w:r w:rsidR="00611F9C" w:rsidRPr="005A4B27">
        <w:rPr>
          <w:lang w:val="es-CO"/>
        </w:rPr>
        <w:t xml:space="preserve"> por e-mail artículos que él había escrito sobre el tema. Yo tenía muchas preguntas e ideas, y él ha seguido proporcionándome respuestas y más documentos para leer. Estoy pensando no sólo en las personas con enfermedades neurodegenerativas como mi esposo, sino también en los bebés recién nacidos enfermos y prematuros que yo atiendo y en la potencial gama de usos que todo esto puede tener no solamente para las personas </w:t>
      </w:r>
      <w:r w:rsidR="00E547D2" w:rsidRPr="005A4B27">
        <w:rPr>
          <w:lang w:val="es-CO"/>
        </w:rPr>
        <w:t xml:space="preserve">de </w:t>
      </w:r>
      <w:r w:rsidR="00611F9C" w:rsidRPr="005A4B27">
        <w:rPr>
          <w:lang w:val="es-CO"/>
        </w:rPr>
        <w:t>ambos extremos del espectro de vida sino para todos los demás</w:t>
      </w:r>
      <w:r w:rsidR="00E547D2" w:rsidRPr="005A4B27">
        <w:rPr>
          <w:lang w:val="es-CO"/>
        </w:rPr>
        <w:t xml:space="preserve"> entre ellos. Me</w:t>
      </w:r>
      <w:r w:rsidR="00611F9C" w:rsidRPr="005A4B27">
        <w:rPr>
          <w:lang w:val="es-CO"/>
        </w:rPr>
        <w:t xml:space="preserve"> pregunto sobre el autismo</w:t>
      </w:r>
      <w:r w:rsidR="00700407" w:rsidRPr="005A4B27">
        <w:rPr>
          <w:lang w:val="es-CO"/>
        </w:rPr>
        <w:t>,</w:t>
      </w:r>
      <w:r w:rsidR="00611F9C" w:rsidRPr="005A4B27">
        <w:rPr>
          <w:lang w:val="es-CO"/>
        </w:rPr>
        <w:t xml:space="preserve"> si es que está faltando </w:t>
      </w:r>
      <w:r w:rsidR="00E547D2" w:rsidRPr="005A4B27">
        <w:rPr>
          <w:lang w:val="es-CO"/>
        </w:rPr>
        <w:t xml:space="preserve">algo </w:t>
      </w:r>
      <w:r w:rsidR="00611F9C" w:rsidRPr="005A4B27">
        <w:rPr>
          <w:lang w:val="es-CO"/>
        </w:rPr>
        <w:t>en las fórmulas para bebés y en la dieta de las mujeres que están lactando.</w:t>
      </w:r>
      <w:r w:rsidR="00611F9C" w:rsidRPr="005A4B27">
        <w:rPr>
          <w:vertAlign w:val="superscript"/>
          <w:lang w:val="es-CO"/>
        </w:rPr>
        <w:t>23</w:t>
      </w:r>
    </w:p>
    <w:p w:rsidR="00611F9C" w:rsidRPr="005A4B27" w:rsidRDefault="00611F9C" w:rsidP="00396753">
      <w:pPr>
        <w:jc w:val="both"/>
        <w:rPr>
          <w:lang w:val="es-CO"/>
        </w:rPr>
      </w:pPr>
      <w:r w:rsidRPr="005A4B27">
        <w:rPr>
          <w:lang w:val="es-CO"/>
        </w:rPr>
        <w:tab/>
        <w:t xml:space="preserve">El beta-hidroxibutirato, que es un cuerpo </w:t>
      </w:r>
      <w:r w:rsidR="00A52D6F" w:rsidRPr="005A4B27">
        <w:rPr>
          <w:lang w:val="es-CO"/>
        </w:rPr>
        <w:t>cet</w:t>
      </w:r>
      <w:r w:rsidR="00B97E7B" w:rsidRPr="00925E4A">
        <w:rPr>
          <w:lang w:val="es-CO"/>
        </w:rPr>
        <w:t>ó</w:t>
      </w:r>
      <w:r w:rsidR="00A52D6F" w:rsidRPr="005A4B27">
        <w:rPr>
          <w:lang w:val="es-CO"/>
        </w:rPr>
        <w:t>nico</w:t>
      </w:r>
      <w:r w:rsidRPr="005A4B27">
        <w:rPr>
          <w:lang w:val="es-CO"/>
        </w:rPr>
        <w:t xml:space="preserve"> primario y producto final del metabolismo de los ácidos grasos, parece proteger las neuronas cuando falta la </w:t>
      </w:r>
      <w:r w:rsidR="00E547D2" w:rsidRPr="005A4B27">
        <w:rPr>
          <w:lang w:val="es-CO"/>
        </w:rPr>
        <w:t>glucosa</w:t>
      </w:r>
      <w:r w:rsidRPr="005A4B27">
        <w:rPr>
          <w:lang w:val="es-CO"/>
        </w:rPr>
        <w:t>.</w:t>
      </w:r>
      <w:r w:rsidRPr="005A4B27">
        <w:rPr>
          <w:vertAlign w:val="superscript"/>
          <w:lang w:val="es-CO"/>
        </w:rPr>
        <w:t>20</w:t>
      </w:r>
      <w:r w:rsidR="00E547D2" w:rsidRPr="005A4B27">
        <w:rPr>
          <w:lang w:val="es-CO"/>
        </w:rPr>
        <w:t xml:space="preserve"> En su laboratorio, el D</w:t>
      </w:r>
      <w:r w:rsidRPr="005A4B27">
        <w:rPr>
          <w:lang w:val="es-CO"/>
        </w:rPr>
        <w:t>r. Veech puede hacer un</w:t>
      </w:r>
      <w:r w:rsidR="00D225AE" w:rsidRPr="005A4B27">
        <w:rPr>
          <w:lang w:val="es-CO"/>
        </w:rPr>
        <w:t>a forma de</w:t>
      </w:r>
      <w:r w:rsidRPr="005A4B27">
        <w:rPr>
          <w:lang w:val="es-CO"/>
        </w:rPr>
        <w:t xml:space="preserve"> éster </w:t>
      </w:r>
      <w:r w:rsidR="00A37F1A" w:rsidRPr="005A4B27">
        <w:rPr>
          <w:lang w:val="es-CO"/>
        </w:rPr>
        <w:t xml:space="preserve">de </w:t>
      </w:r>
      <w:r w:rsidR="00D225AE" w:rsidRPr="005A4B27">
        <w:rPr>
          <w:lang w:val="es-CO"/>
        </w:rPr>
        <w:t>beta-hidroxibutirato de</w:t>
      </w:r>
      <w:r w:rsidR="00E547D2" w:rsidRPr="005A4B27">
        <w:rPr>
          <w:lang w:val="es-CO"/>
        </w:rPr>
        <w:t>l</w:t>
      </w:r>
      <w:r w:rsidR="00D225AE" w:rsidRPr="005A4B27">
        <w:rPr>
          <w:lang w:val="es-CO"/>
        </w:rPr>
        <w:t xml:space="preserve"> aceite </w:t>
      </w:r>
      <w:r w:rsidR="0017093E" w:rsidRPr="005A4B27">
        <w:rPr>
          <w:lang w:val="es-CO"/>
        </w:rPr>
        <w:t>de TCM</w:t>
      </w:r>
      <w:r w:rsidR="00D225AE" w:rsidRPr="005A4B27">
        <w:rPr>
          <w:lang w:val="es-CO"/>
        </w:rPr>
        <w:t xml:space="preserve">, que se puede tomar por vía oral y es convertido en energía por </w:t>
      </w:r>
      <w:r w:rsidR="00E547D2" w:rsidRPr="005A4B27">
        <w:rPr>
          <w:lang w:val="es-CO"/>
        </w:rPr>
        <w:t xml:space="preserve">las neuronas y otras células. Es posible que se logre </w:t>
      </w:r>
      <w:r w:rsidR="00D225AE" w:rsidRPr="005A4B27">
        <w:rPr>
          <w:lang w:val="es-CO"/>
        </w:rPr>
        <w:t xml:space="preserve">obtener niveles más altos de </w:t>
      </w:r>
      <w:r w:rsidR="00A37F1A" w:rsidRPr="005A4B27">
        <w:rPr>
          <w:lang w:val="es-CO"/>
        </w:rPr>
        <w:t>cetonas si</w:t>
      </w:r>
      <w:r w:rsidR="00E547D2" w:rsidRPr="005A4B27">
        <w:rPr>
          <w:lang w:val="es-CO"/>
        </w:rPr>
        <w:t xml:space="preserve"> se ingiere</w:t>
      </w:r>
      <w:r w:rsidR="00D225AE" w:rsidRPr="005A4B27">
        <w:rPr>
          <w:lang w:val="es-CO"/>
        </w:rPr>
        <w:t xml:space="preserve"> directamente el beta-hidroxibutirato. El </w:t>
      </w:r>
      <w:r w:rsidR="00E547D2" w:rsidRPr="005A4B27">
        <w:rPr>
          <w:lang w:val="es-CO"/>
        </w:rPr>
        <w:t>D</w:t>
      </w:r>
      <w:r w:rsidR="00D225AE" w:rsidRPr="005A4B27">
        <w:rPr>
          <w:lang w:val="es-CO"/>
        </w:rPr>
        <w:t>r. Veech ha realizado estudios en animal</w:t>
      </w:r>
      <w:r w:rsidR="00E547D2" w:rsidRPr="005A4B27">
        <w:rPr>
          <w:lang w:val="es-CO"/>
        </w:rPr>
        <w:t>e</w:t>
      </w:r>
      <w:r w:rsidR="00D225AE" w:rsidRPr="005A4B27">
        <w:rPr>
          <w:lang w:val="es-CO"/>
        </w:rPr>
        <w:t xml:space="preserve">s, pero tendría que producirlo en </w:t>
      </w:r>
      <w:r w:rsidR="00A52D6F" w:rsidRPr="005A4B27">
        <w:rPr>
          <w:lang w:val="es-CO"/>
        </w:rPr>
        <w:t xml:space="preserve">grandes </w:t>
      </w:r>
      <w:r w:rsidR="00D225AE" w:rsidRPr="005A4B27">
        <w:rPr>
          <w:lang w:val="es-CO"/>
        </w:rPr>
        <w:t>cantidades para poder adelantar estudios con seres humanos. Podría empezar este año, si contara con la financiación</w:t>
      </w:r>
      <w:r w:rsidR="00E547D2" w:rsidRPr="005A4B27">
        <w:rPr>
          <w:lang w:val="es-CO"/>
        </w:rPr>
        <w:t>.</w:t>
      </w:r>
      <w:r w:rsidR="00D225AE" w:rsidRPr="005A4B27">
        <w:rPr>
          <w:lang w:val="es-CO"/>
        </w:rPr>
        <w:t xml:space="preserve"> Se necesitan </w:t>
      </w:r>
      <w:r w:rsidR="00CE0815" w:rsidRPr="005A4B27">
        <w:rPr>
          <w:lang w:val="es-CO"/>
        </w:rPr>
        <w:t>US</w:t>
      </w:r>
      <w:r w:rsidR="00D225AE" w:rsidRPr="005A4B27">
        <w:rPr>
          <w:lang w:val="es-CO"/>
        </w:rPr>
        <w:t>$15 millones para constru</w:t>
      </w:r>
      <w:r w:rsidR="00C0230B" w:rsidRPr="005A4B27">
        <w:rPr>
          <w:lang w:val="es-CO"/>
        </w:rPr>
        <w:t>i</w:t>
      </w:r>
      <w:r w:rsidR="00D225AE" w:rsidRPr="005A4B27">
        <w:rPr>
          <w:lang w:val="es-CO"/>
        </w:rPr>
        <w:t xml:space="preserve">r una planta que produzca el beta-hidroxibutirato. Eso es mucho dinero, pero no </w:t>
      </w:r>
      <w:r w:rsidR="00E547D2" w:rsidRPr="005A4B27">
        <w:rPr>
          <w:lang w:val="es-CO"/>
        </w:rPr>
        <w:t>parece</w:t>
      </w:r>
      <w:r w:rsidR="00D225AE" w:rsidRPr="005A4B27">
        <w:rPr>
          <w:lang w:val="es-CO"/>
        </w:rPr>
        <w:t xml:space="preserve"> tanto si </w:t>
      </w:r>
      <w:r w:rsidR="00637B82" w:rsidRPr="005A4B27">
        <w:rPr>
          <w:lang w:val="es-CO"/>
        </w:rPr>
        <w:t>consideramos</w:t>
      </w:r>
      <w:r w:rsidR="00D225AE" w:rsidRPr="005A4B27">
        <w:rPr>
          <w:lang w:val="es-CO"/>
        </w:rPr>
        <w:t xml:space="preserve"> que </w:t>
      </w:r>
      <w:r w:rsidR="00E547D2" w:rsidRPr="005A4B27">
        <w:rPr>
          <w:lang w:val="es-CO"/>
        </w:rPr>
        <w:t>corresponde a</w:t>
      </w:r>
      <w:r w:rsidR="00D225AE" w:rsidRPr="005A4B27">
        <w:rPr>
          <w:lang w:val="es-CO"/>
        </w:rPr>
        <w:t xml:space="preserve"> </w:t>
      </w:r>
      <w:r w:rsidR="00CE0815" w:rsidRPr="005A4B27">
        <w:rPr>
          <w:lang w:val="es-CO"/>
        </w:rPr>
        <w:t>US</w:t>
      </w:r>
      <w:r w:rsidR="00D225AE" w:rsidRPr="005A4B27">
        <w:rPr>
          <w:lang w:val="es-CO"/>
        </w:rPr>
        <w:t xml:space="preserve">$1.00 por persona de las que </w:t>
      </w:r>
      <w:r w:rsidR="00E547D2" w:rsidRPr="005A4B27">
        <w:rPr>
          <w:lang w:val="es-CO"/>
        </w:rPr>
        <w:t xml:space="preserve">para el año 2050 </w:t>
      </w:r>
      <w:r w:rsidR="00D225AE" w:rsidRPr="005A4B27">
        <w:rPr>
          <w:lang w:val="es-CO"/>
        </w:rPr>
        <w:t>se espera padecerán la enfermedad de Alzheimer.</w:t>
      </w:r>
    </w:p>
    <w:p w:rsidR="00D225AE" w:rsidRPr="005A4B27" w:rsidRDefault="00D225AE" w:rsidP="00396753">
      <w:pPr>
        <w:jc w:val="both"/>
        <w:rPr>
          <w:lang w:val="es-CO"/>
        </w:rPr>
      </w:pPr>
      <w:r w:rsidRPr="005A4B27">
        <w:rPr>
          <w:lang w:val="es-CO"/>
        </w:rPr>
        <w:tab/>
        <w:t>A finales de junio visitamos Cincinnati y tod</w:t>
      </w:r>
      <w:r w:rsidR="00E547D2" w:rsidRPr="005A4B27">
        <w:rPr>
          <w:lang w:val="es-CO"/>
        </w:rPr>
        <w:t>os en</w:t>
      </w:r>
      <w:r w:rsidRPr="005A4B27">
        <w:rPr>
          <w:lang w:val="es-CO"/>
        </w:rPr>
        <w:t xml:space="preserve"> m</w:t>
      </w:r>
      <w:r w:rsidR="00E547D2" w:rsidRPr="005A4B27">
        <w:rPr>
          <w:lang w:val="es-CO"/>
        </w:rPr>
        <w:t>i familia y la familia de Steve</w:t>
      </w:r>
      <w:r w:rsidRPr="005A4B27">
        <w:rPr>
          <w:lang w:val="es-CO"/>
        </w:rPr>
        <w:t xml:space="preserve"> notaron una diferencia significativa en su form</w:t>
      </w:r>
      <w:r w:rsidR="00C0230B" w:rsidRPr="005A4B27">
        <w:rPr>
          <w:lang w:val="es-CO"/>
        </w:rPr>
        <w:t>a de i</w:t>
      </w:r>
      <w:r w:rsidRPr="005A4B27">
        <w:rPr>
          <w:lang w:val="es-CO"/>
        </w:rPr>
        <w:t xml:space="preserve">nteractuar con ellos socialmente, </w:t>
      </w:r>
      <w:r w:rsidR="00B97E7B" w:rsidRPr="00925E4A">
        <w:rPr>
          <w:lang w:val="es-CO"/>
        </w:rPr>
        <w:t>comparada</w:t>
      </w:r>
      <w:r w:rsidR="00B97E7B">
        <w:rPr>
          <w:lang w:val="es-CO"/>
        </w:rPr>
        <w:t xml:space="preserve"> </w:t>
      </w:r>
      <w:r w:rsidRPr="005A4B27">
        <w:rPr>
          <w:lang w:val="es-CO"/>
        </w:rPr>
        <w:t>con la de un año atrás. En lugar de parecer perdido, se involucró e interesó en todo lo que ellos decían. Reconoció inmediatamente</w:t>
      </w:r>
      <w:r w:rsidR="00C0230B" w:rsidRPr="005A4B27">
        <w:rPr>
          <w:lang w:val="es-CO"/>
        </w:rPr>
        <w:t>,</w:t>
      </w:r>
      <w:r w:rsidRPr="005A4B27">
        <w:rPr>
          <w:lang w:val="es-CO"/>
        </w:rPr>
        <w:t xml:space="preserve"> </w:t>
      </w:r>
      <w:r w:rsidR="00C0230B" w:rsidRPr="005A4B27">
        <w:rPr>
          <w:lang w:val="es-CO"/>
        </w:rPr>
        <w:t xml:space="preserve">y </w:t>
      </w:r>
      <w:r w:rsidRPr="005A4B27">
        <w:rPr>
          <w:lang w:val="es-CO"/>
        </w:rPr>
        <w:t xml:space="preserve">por </w:t>
      </w:r>
      <w:r w:rsidR="00C0230B" w:rsidRPr="005A4B27">
        <w:rPr>
          <w:lang w:val="es-CO"/>
        </w:rPr>
        <w:t xml:space="preserve">sus nombres, a </w:t>
      </w:r>
      <w:r w:rsidRPr="005A4B27">
        <w:rPr>
          <w:lang w:val="es-CO"/>
        </w:rPr>
        <w:t xml:space="preserve">parientes (cuñados, sobrinas y sobrinos) </w:t>
      </w:r>
      <w:r w:rsidR="00E547D2" w:rsidRPr="005A4B27">
        <w:rPr>
          <w:lang w:val="es-CO"/>
        </w:rPr>
        <w:t xml:space="preserve">que </w:t>
      </w:r>
      <w:r w:rsidR="00C0230B" w:rsidRPr="005A4B27">
        <w:rPr>
          <w:lang w:val="es-CO"/>
        </w:rPr>
        <w:t>el año pasado había desconocido</w:t>
      </w:r>
      <w:r w:rsidR="00E547D2" w:rsidRPr="005A4B27">
        <w:rPr>
          <w:lang w:val="es-CO"/>
        </w:rPr>
        <w:t xml:space="preserve"> por completo</w:t>
      </w:r>
      <w:r w:rsidR="00C0230B" w:rsidRPr="005A4B27">
        <w:rPr>
          <w:lang w:val="es-CO"/>
        </w:rPr>
        <w:t xml:space="preserve">. </w:t>
      </w:r>
      <w:r w:rsidR="00E547D2" w:rsidRPr="005A4B27">
        <w:rPr>
          <w:lang w:val="es-CO"/>
        </w:rPr>
        <w:t xml:space="preserve">La </w:t>
      </w:r>
      <w:r w:rsidR="00C0230B" w:rsidRPr="005A4B27">
        <w:rPr>
          <w:lang w:val="es-CO"/>
        </w:rPr>
        <w:t xml:space="preserve">expresión </w:t>
      </w:r>
      <w:r w:rsidR="00E547D2" w:rsidRPr="005A4B27">
        <w:rPr>
          <w:lang w:val="es-CO"/>
        </w:rPr>
        <w:t xml:space="preserve">de su cara lucía </w:t>
      </w:r>
      <w:r w:rsidR="00C0230B" w:rsidRPr="005A4B27">
        <w:rPr>
          <w:lang w:val="es-CO"/>
        </w:rPr>
        <w:t xml:space="preserve">más animada, participó activamente en conversaciones, captó los chistes de inmediato e </w:t>
      </w:r>
      <w:r w:rsidR="00E74557" w:rsidRPr="005A4B27">
        <w:rPr>
          <w:lang w:val="es-CO"/>
        </w:rPr>
        <w:t>incluso</w:t>
      </w:r>
      <w:r w:rsidR="00C0230B" w:rsidRPr="005A4B27">
        <w:rPr>
          <w:lang w:val="es-CO"/>
        </w:rPr>
        <w:t xml:space="preserve"> aportó comentarios humorísticos. Todavía </w:t>
      </w:r>
      <w:r w:rsidR="00E547D2" w:rsidRPr="005A4B27">
        <w:rPr>
          <w:lang w:val="es-CO"/>
        </w:rPr>
        <w:t xml:space="preserve">tuvo </w:t>
      </w:r>
      <w:r w:rsidR="00C0230B" w:rsidRPr="005A4B27">
        <w:rPr>
          <w:lang w:val="es-CO"/>
        </w:rPr>
        <w:t>dificultad para encontrar algunas palabras, pero convers</w:t>
      </w:r>
      <w:r w:rsidR="00E547D2" w:rsidRPr="005A4B27">
        <w:rPr>
          <w:lang w:val="es-CO"/>
        </w:rPr>
        <w:t>aba</w:t>
      </w:r>
      <w:r w:rsidR="00C0230B" w:rsidRPr="005A4B27">
        <w:rPr>
          <w:lang w:val="es-CO"/>
        </w:rPr>
        <w:t xml:space="preserve"> </w:t>
      </w:r>
      <w:r w:rsidR="00E547D2" w:rsidRPr="005A4B27">
        <w:rPr>
          <w:lang w:val="es-CO"/>
        </w:rPr>
        <w:t>usa</w:t>
      </w:r>
      <w:r w:rsidR="00C0230B" w:rsidRPr="005A4B27">
        <w:rPr>
          <w:lang w:val="es-CO"/>
        </w:rPr>
        <w:t>n</w:t>
      </w:r>
      <w:r w:rsidR="00E547D2" w:rsidRPr="005A4B27">
        <w:rPr>
          <w:lang w:val="es-CO"/>
        </w:rPr>
        <w:t>do</w:t>
      </w:r>
      <w:r w:rsidR="00C0230B" w:rsidRPr="005A4B27">
        <w:rPr>
          <w:lang w:val="es-CO"/>
        </w:rPr>
        <w:t xml:space="preserve"> frases completas e incluso enlaza</w:t>
      </w:r>
      <w:r w:rsidR="00E547D2" w:rsidRPr="005A4B27">
        <w:rPr>
          <w:lang w:val="es-CO"/>
        </w:rPr>
        <w:t>ndo</w:t>
      </w:r>
      <w:r w:rsidR="00C0230B" w:rsidRPr="005A4B27">
        <w:rPr>
          <w:lang w:val="es-CO"/>
        </w:rPr>
        <w:t xml:space="preserve"> unas frases con otras. En las mañanas se presentaba en la cocina y me invitaba a caminar por la “</w:t>
      </w:r>
      <w:r w:rsidR="008D19F8" w:rsidRPr="008D19F8">
        <w:rPr>
          <w:lang w:val="es-CO"/>
        </w:rPr>
        <w:t xml:space="preserve">colina </w:t>
      </w:r>
      <w:r w:rsidR="00B97E7B" w:rsidRPr="008D19F8">
        <w:rPr>
          <w:lang w:val="es-CO"/>
        </w:rPr>
        <w:t>gran</w:t>
      </w:r>
      <w:r w:rsidR="008D19F8" w:rsidRPr="008D19F8">
        <w:rPr>
          <w:lang w:val="es-CO"/>
        </w:rPr>
        <w:t>de</w:t>
      </w:r>
      <w:r w:rsidR="00C0230B" w:rsidRPr="005A4B27">
        <w:rPr>
          <w:lang w:val="es-CO"/>
        </w:rPr>
        <w:t xml:space="preserve">” para hacer ejercicio antes de desayunar. </w:t>
      </w:r>
      <w:r w:rsidR="00E547D2" w:rsidRPr="005A4B27">
        <w:rPr>
          <w:lang w:val="es-CO"/>
        </w:rPr>
        <w:t>Fue</w:t>
      </w:r>
      <w:r w:rsidR="00C0230B" w:rsidRPr="005A4B27">
        <w:rPr>
          <w:lang w:val="es-CO"/>
        </w:rPr>
        <w:t xml:space="preserve"> una persona mu</w:t>
      </w:r>
      <w:r w:rsidR="00B21D28" w:rsidRPr="005A4B27">
        <w:rPr>
          <w:lang w:val="es-CO"/>
        </w:rPr>
        <w:t>y diferente a la que era hace u</w:t>
      </w:r>
      <w:r w:rsidR="00C0230B" w:rsidRPr="005A4B27">
        <w:rPr>
          <w:lang w:val="es-CO"/>
        </w:rPr>
        <w:t xml:space="preserve">n año y quizás hasta dos o tres años atrás. Steve tiene una atrofia </w:t>
      </w:r>
      <w:r w:rsidR="00B21D28" w:rsidRPr="005A4B27">
        <w:rPr>
          <w:lang w:val="es-CO"/>
        </w:rPr>
        <w:t>severa</w:t>
      </w:r>
      <w:r w:rsidR="00C0230B" w:rsidRPr="005A4B27">
        <w:rPr>
          <w:lang w:val="es-CO"/>
        </w:rPr>
        <w:t xml:space="preserve"> </w:t>
      </w:r>
      <w:r w:rsidR="00B21D28" w:rsidRPr="005A4B27">
        <w:rPr>
          <w:lang w:val="es-CO"/>
        </w:rPr>
        <w:t>d</w:t>
      </w:r>
      <w:r w:rsidR="00C0230B" w:rsidRPr="005A4B27">
        <w:rPr>
          <w:lang w:val="es-CO"/>
        </w:rPr>
        <w:t xml:space="preserve">el cerebro y jamás volverá a ser “normal”, pero por ahora nos complace mucho la situación en que está </w:t>
      </w:r>
      <w:r w:rsidR="00B21D28" w:rsidRPr="005A4B27">
        <w:rPr>
          <w:lang w:val="es-CO"/>
        </w:rPr>
        <w:t>y, si el aceite de coco puede detener o retardar el progreso de su enfermedad, vale la pena cada gota que se tome.</w:t>
      </w:r>
    </w:p>
    <w:p w:rsidR="00B21D28" w:rsidRPr="005A4B27" w:rsidRDefault="00B21D28" w:rsidP="00396753">
      <w:pPr>
        <w:jc w:val="both"/>
        <w:rPr>
          <w:lang w:val="es-CO"/>
        </w:rPr>
      </w:pPr>
      <w:r w:rsidRPr="005A4B27">
        <w:rPr>
          <w:lang w:val="es-CO"/>
        </w:rPr>
        <w:tab/>
        <w:t>Mi hermana Lois le contó a una compañera de trabajo acerca del aceite</w:t>
      </w:r>
      <w:r w:rsidR="00E547D2" w:rsidRPr="005A4B27">
        <w:rPr>
          <w:lang w:val="es-CO"/>
        </w:rPr>
        <w:t xml:space="preserve"> de coco y </w:t>
      </w:r>
      <w:r w:rsidR="008F4806" w:rsidRPr="005A4B27">
        <w:rPr>
          <w:lang w:val="es-CO"/>
        </w:rPr>
        <w:t>los resultados</w:t>
      </w:r>
      <w:r w:rsidR="00E547D2" w:rsidRPr="005A4B27">
        <w:rPr>
          <w:lang w:val="es-CO"/>
        </w:rPr>
        <w:t xml:space="preserve"> de Steve</w:t>
      </w:r>
      <w:r w:rsidRPr="005A4B27">
        <w:rPr>
          <w:lang w:val="es-CO"/>
        </w:rPr>
        <w:t xml:space="preserve"> al mismo. Su padre empezó a dárselo </w:t>
      </w:r>
      <w:r w:rsidR="008F4806" w:rsidRPr="005A4B27">
        <w:rPr>
          <w:lang w:val="es-CO"/>
        </w:rPr>
        <w:t>a su madre</w:t>
      </w:r>
      <w:r w:rsidRPr="005A4B27">
        <w:rPr>
          <w:lang w:val="es-CO"/>
        </w:rPr>
        <w:t xml:space="preserve">, que también tiene Alzheimer, y </w:t>
      </w:r>
      <w:r w:rsidR="00D01D41" w:rsidRPr="005A4B27">
        <w:rPr>
          <w:lang w:val="es-CO"/>
        </w:rPr>
        <w:t xml:space="preserve">la señora </w:t>
      </w:r>
      <w:r w:rsidRPr="005A4B27">
        <w:rPr>
          <w:lang w:val="es-CO"/>
        </w:rPr>
        <w:t xml:space="preserve">ha mostrado una reacción similar, </w:t>
      </w:r>
      <w:r w:rsidR="009F24FC" w:rsidRPr="005A4B27">
        <w:rPr>
          <w:lang w:val="es-CO"/>
        </w:rPr>
        <w:t>luce</w:t>
      </w:r>
      <w:r w:rsidRPr="005A4B27">
        <w:rPr>
          <w:lang w:val="es-CO"/>
        </w:rPr>
        <w:t xml:space="preserve"> más alerta, participativa y con sentido del humor.</w:t>
      </w:r>
    </w:p>
    <w:p w:rsidR="00B21D28" w:rsidRPr="005A4B27" w:rsidRDefault="00B21D28" w:rsidP="00396753">
      <w:pPr>
        <w:jc w:val="both"/>
        <w:rPr>
          <w:lang w:val="es-CO"/>
        </w:rPr>
      </w:pPr>
      <w:r w:rsidRPr="005A4B27">
        <w:rPr>
          <w:lang w:val="es-CO"/>
        </w:rPr>
        <w:tab/>
        <w:t xml:space="preserve">El 9 de </w:t>
      </w:r>
      <w:r w:rsidR="00536CC3" w:rsidRPr="005A4B27">
        <w:rPr>
          <w:lang w:val="es-CO"/>
        </w:rPr>
        <w:t>j</w:t>
      </w:r>
      <w:r w:rsidRPr="005A4B27">
        <w:rPr>
          <w:lang w:val="es-CO"/>
        </w:rPr>
        <w:t>ulio de 2008, a</w:t>
      </w:r>
      <w:r w:rsidR="009F24FC" w:rsidRPr="005A4B27">
        <w:rPr>
          <w:lang w:val="es-CO"/>
        </w:rPr>
        <w:t xml:space="preserve"> Steve</w:t>
      </w:r>
      <w:r w:rsidRPr="005A4B27">
        <w:rPr>
          <w:lang w:val="es-CO"/>
        </w:rPr>
        <w:t xml:space="preserve"> le tomaron muestras de sangre a distintas horas antes y después de desayunar y cenar. En cada una de esas comidas, él tomó 35 ml de aceite de coco; el resto del día no ingirió más aceite de coco ni otros productos de coco. No</w:t>
      </w:r>
      <w:r w:rsidR="009F24FC" w:rsidRPr="005A4B27">
        <w:rPr>
          <w:lang w:val="es-CO"/>
        </w:rPr>
        <w:t>rmalmente, en un día promedio, é</w:t>
      </w:r>
      <w:r w:rsidRPr="005A4B27">
        <w:rPr>
          <w:lang w:val="es-CO"/>
        </w:rPr>
        <w:t xml:space="preserve">l ingiere una cantidad mayor de aceite de coco. </w:t>
      </w:r>
      <w:r w:rsidR="009F24FC" w:rsidRPr="005A4B27">
        <w:rPr>
          <w:lang w:val="es-CO"/>
        </w:rPr>
        <w:t>Los niveles de cetonas de Steve</w:t>
      </w:r>
      <w:r w:rsidRPr="005A4B27">
        <w:rPr>
          <w:lang w:val="es-CO"/>
        </w:rPr>
        <w:t xml:space="preserve"> emp</w:t>
      </w:r>
      <w:r w:rsidR="00177C93" w:rsidRPr="005A4B27">
        <w:rPr>
          <w:lang w:val="es-CO"/>
        </w:rPr>
        <w:t>ezaron</w:t>
      </w:r>
      <w:r w:rsidRPr="005A4B27">
        <w:rPr>
          <w:lang w:val="es-CO"/>
        </w:rPr>
        <w:t xml:space="preserve"> a aumentar después del desayuno por unas 3 horas, pero a </w:t>
      </w:r>
      <w:r w:rsidR="009F24FC" w:rsidRPr="005A4B27">
        <w:rPr>
          <w:lang w:val="es-CO"/>
        </w:rPr>
        <w:t xml:space="preserve">unos </w:t>
      </w:r>
      <w:r w:rsidRPr="005A4B27">
        <w:rPr>
          <w:lang w:val="es-CO"/>
        </w:rPr>
        <w:t>niveles re</w:t>
      </w:r>
      <w:r w:rsidR="009F24FC" w:rsidRPr="005A4B27">
        <w:rPr>
          <w:lang w:val="es-CO"/>
        </w:rPr>
        <w:t>la</w:t>
      </w:r>
      <w:r w:rsidRPr="005A4B27">
        <w:rPr>
          <w:lang w:val="es-CO"/>
        </w:rPr>
        <w:t>tivamente bajos, disminuye</w:t>
      </w:r>
      <w:r w:rsidR="009F24FC" w:rsidRPr="005A4B27">
        <w:rPr>
          <w:lang w:val="es-CO"/>
        </w:rPr>
        <w:t>ro</w:t>
      </w:r>
      <w:r w:rsidR="00177C93" w:rsidRPr="005A4B27">
        <w:rPr>
          <w:lang w:val="es-CO"/>
        </w:rPr>
        <w:t>n</w:t>
      </w:r>
      <w:r w:rsidR="009F24FC" w:rsidRPr="005A4B27">
        <w:rPr>
          <w:lang w:val="es-CO"/>
        </w:rPr>
        <w:t xml:space="preserve"> n</w:t>
      </w:r>
      <w:r w:rsidR="00177C93" w:rsidRPr="005A4B27">
        <w:rPr>
          <w:lang w:val="es-CO"/>
        </w:rPr>
        <w:t>uevamente antes de la cena</w:t>
      </w:r>
      <w:r w:rsidR="009F24FC" w:rsidRPr="005A4B27">
        <w:rPr>
          <w:lang w:val="es-CO"/>
        </w:rPr>
        <w:t xml:space="preserve"> </w:t>
      </w:r>
      <w:r w:rsidR="00177C93" w:rsidRPr="005A4B27">
        <w:rPr>
          <w:lang w:val="es-CO"/>
        </w:rPr>
        <w:t xml:space="preserve">y siguieron aumentando a un ritmo constante </w:t>
      </w:r>
      <w:r w:rsidR="009F24FC" w:rsidRPr="005A4B27">
        <w:rPr>
          <w:lang w:val="es-CO"/>
        </w:rPr>
        <w:t>hasta unas</w:t>
      </w:r>
      <w:r w:rsidR="00177C93" w:rsidRPr="005A4B27">
        <w:rPr>
          <w:lang w:val="es-CO"/>
        </w:rPr>
        <w:t xml:space="preserve"> 3 horas después de la cena. No sabemos cuándo</w:t>
      </w:r>
      <w:r w:rsidRPr="005A4B27">
        <w:rPr>
          <w:lang w:val="es-CO"/>
        </w:rPr>
        <w:t xml:space="preserve"> </w:t>
      </w:r>
      <w:r w:rsidR="00177C93" w:rsidRPr="005A4B27">
        <w:rPr>
          <w:lang w:val="es-CO"/>
        </w:rPr>
        <w:t>alcanzaron los niveles su punto más alto porque de ahí en adelante</w:t>
      </w:r>
      <w:r w:rsidR="000446AB" w:rsidRPr="005A4B27">
        <w:rPr>
          <w:lang w:val="es-CO"/>
        </w:rPr>
        <w:t xml:space="preserve"> no se </w:t>
      </w:r>
      <w:r w:rsidR="00267EF6" w:rsidRPr="005A4B27">
        <w:rPr>
          <w:lang w:val="es-CO"/>
        </w:rPr>
        <w:t xml:space="preserve">le </w:t>
      </w:r>
      <w:r w:rsidR="009F24FC" w:rsidRPr="005A4B27">
        <w:rPr>
          <w:lang w:val="es-CO"/>
        </w:rPr>
        <w:t>midie</w:t>
      </w:r>
      <w:r w:rsidR="000446AB" w:rsidRPr="005A4B27">
        <w:rPr>
          <w:lang w:val="es-CO"/>
        </w:rPr>
        <w:t>ron. El D</w:t>
      </w:r>
      <w:r w:rsidR="00177C93" w:rsidRPr="005A4B27">
        <w:rPr>
          <w:lang w:val="es-CO"/>
        </w:rPr>
        <w:t xml:space="preserve">r. Veech piensa que es sorprendente que Steve mejorara con estos </w:t>
      </w:r>
      <w:r w:rsidR="00267EF6" w:rsidRPr="005A4B27">
        <w:rPr>
          <w:lang w:val="es-CO"/>
        </w:rPr>
        <w:t xml:space="preserve">niveles de cetonas </w:t>
      </w:r>
      <w:r w:rsidR="00177C93" w:rsidRPr="005A4B27">
        <w:rPr>
          <w:lang w:val="es-CO"/>
        </w:rPr>
        <w:t xml:space="preserve">relativamente bajos. </w:t>
      </w:r>
      <w:r w:rsidR="00E74557" w:rsidRPr="005A4B27">
        <w:rPr>
          <w:lang w:val="es-CO"/>
        </w:rPr>
        <w:t>Este estudio reafirma su convencimiento de que es necesario seguir adelante con la producción y pruebas estos ésteres de beta-hidroxibutirato de cetonas, toda vez que con los tiempos y controles debidos se podrían obtener niveles de cuerpos cetónicos mucho más altos, y contar así con más cetonas para uso de las neuronas, con todo lo cual sería de esperar una mayor mejoría.</w:t>
      </w:r>
    </w:p>
    <w:p w:rsidR="00177C93" w:rsidRPr="005A4B27" w:rsidRDefault="00177C93" w:rsidP="00396753">
      <w:pPr>
        <w:jc w:val="both"/>
        <w:rPr>
          <w:lang w:val="es-CO"/>
        </w:rPr>
      </w:pPr>
      <w:r w:rsidRPr="005A4B27">
        <w:rPr>
          <w:lang w:val="es-CO"/>
        </w:rPr>
        <w:tab/>
      </w:r>
      <w:r w:rsidRPr="005A4B27">
        <w:rPr>
          <w:b/>
          <w:lang w:val="es-CO"/>
        </w:rPr>
        <w:t xml:space="preserve">Es urgente contar con la financiación </w:t>
      </w:r>
      <w:r w:rsidR="00807850" w:rsidRPr="005A4B27">
        <w:rPr>
          <w:b/>
          <w:lang w:val="es-CO"/>
        </w:rPr>
        <w:t>para avanzar</w:t>
      </w:r>
      <w:r w:rsidR="009F24FC" w:rsidRPr="005A4B27">
        <w:rPr>
          <w:b/>
          <w:lang w:val="es-CO"/>
        </w:rPr>
        <w:t>,</w:t>
      </w:r>
      <w:r w:rsidR="00807850" w:rsidRPr="005A4B27">
        <w:rPr>
          <w:b/>
          <w:lang w:val="es-CO"/>
        </w:rPr>
        <w:t xml:space="preserve"> por los millones de personas que actualmente padecen, y las que en el futuro van a padecer, la enfermedad de Alzheimer, la enfermedad de Parkinson, la enfermedad de Huntington (o mal de San Vito), esclerosis </w:t>
      </w:r>
      <w:r w:rsidR="00E74557" w:rsidRPr="005A4B27">
        <w:rPr>
          <w:b/>
          <w:lang w:val="es-CO"/>
        </w:rPr>
        <w:t>múltiple</w:t>
      </w:r>
      <w:r w:rsidR="00807850" w:rsidRPr="005A4B27">
        <w:rPr>
          <w:b/>
          <w:lang w:val="es-CO"/>
        </w:rPr>
        <w:t>, ALS, diabetes tipo I y tipo II, así como cualquier cantidad de trastornos que implican defecto en el transporte de glucosa a las neuronas y otras células.</w:t>
      </w:r>
    </w:p>
    <w:p w:rsidR="00807850" w:rsidRPr="005A4B27" w:rsidRDefault="00807850" w:rsidP="00396753">
      <w:pPr>
        <w:jc w:val="both"/>
        <w:rPr>
          <w:lang w:val="es-CO"/>
        </w:rPr>
      </w:pPr>
      <w:r w:rsidRPr="005A4B27">
        <w:rPr>
          <w:lang w:val="es-CO"/>
        </w:rPr>
        <w:tab/>
        <w:t>Hasta q</w:t>
      </w:r>
      <w:r w:rsidR="000446AB" w:rsidRPr="005A4B27">
        <w:rPr>
          <w:lang w:val="es-CO"/>
        </w:rPr>
        <w:t>ue el beta-hidroxibutirato del D</w:t>
      </w:r>
      <w:r w:rsidRPr="005A4B27">
        <w:rPr>
          <w:lang w:val="es-CO"/>
        </w:rPr>
        <w:t xml:space="preserve">r. Veech se haya probado y esté disponible para ser usado, un simple cambio en la dieta </w:t>
      </w:r>
      <w:r w:rsidR="000446AB" w:rsidRPr="005A4B27">
        <w:rPr>
          <w:lang w:val="es-CO"/>
        </w:rPr>
        <w:t>con el aceite de coco podría hacer la diferencia para personas que ya estén en riesgo de contraer y aquellas que ya padecen alguna de esas enfermedades.</w:t>
      </w:r>
    </w:p>
    <w:p w:rsidR="000446AB" w:rsidRPr="005A4B27" w:rsidRDefault="000446AB" w:rsidP="00A22EEF">
      <w:pPr>
        <w:jc w:val="both"/>
        <w:rPr>
          <w:lang w:val="es-CO"/>
        </w:rPr>
      </w:pPr>
      <w:r w:rsidRPr="005A4B27">
        <w:rPr>
          <w:lang w:val="es-CO"/>
        </w:rPr>
        <w:tab/>
        <w:t xml:space="preserve">Para duplicar la dosis de </w:t>
      </w:r>
      <w:r w:rsidR="0017093E" w:rsidRPr="005A4B27">
        <w:rPr>
          <w:lang w:val="es-CO"/>
        </w:rPr>
        <w:t>TCM</w:t>
      </w:r>
      <w:r w:rsidRPr="005A4B27">
        <w:rPr>
          <w:lang w:val="es-CO"/>
        </w:rPr>
        <w:t xml:space="preserve"> tomada en el estudio de Ketasyn, </w:t>
      </w:r>
      <w:r w:rsidR="00267EF6" w:rsidRPr="005A4B27">
        <w:rPr>
          <w:lang w:val="es-CO"/>
        </w:rPr>
        <w:t>habría que</w:t>
      </w:r>
      <w:r w:rsidRPr="005A4B27">
        <w:rPr>
          <w:lang w:val="es-CO"/>
        </w:rPr>
        <w:t xml:space="preserve"> tomar 7 cucharaditas rasas de una vez, una vez al día, lo que pondría a circular las cetonas durante 24 horas. Yo no sé si </w:t>
      </w:r>
      <w:r w:rsidR="009F24FC" w:rsidRPr="005A4B27">
        <w:rPr>
          <w:lang w:val="es-CO"/>
        </w:rPr>
        <w:t xml:space="preserve">sea </w:t>
      </w:r>
      <w:r w:rsidRPr="005A4B27">
        <w:rPr>
          <w:lang w:val="es-CO"/>
        </w:rPr>
        <w:t>necesario tomar tanto así de una sola vez o si la dosis se podría repartir en el curso del día; obviamente se requieren estudios para determinar eso. Actualment</w:t>
      </w:r>
      <w:r w:rsidR="009F24FC" w:rsidRPr="005A4B27">
        <w:rPr>
          <w:lang w:val="es-CO"/>
        </w:rPr>
        <w:t>e</w:t>
      </w:r>
      <w:r w:rsidRPr="005A4B27">
        <w:rPr>
          <w:lang w:val="es-CO"/>
        </w:rPr>
        <w:t>, para asegurarnos de que no haya períodos en que las cetonas no estén circulando Steve toma esa cantidad por lo menos dos veces al día. Muchos días recibe hasta un 50% más. Estas cantidades no</w:t>
      </w:r>
      <w:r w:rsidR="009F24FC" w:rsidRPr="005A4B27">
        <w:rPr>
          <w:lang w:val="es-CO"/>
        </w:rPr>
        <w:t xml:space="preserve"> </w:t>
      </w:r>
      <w:r w:rsidRPr="005A4B27">
        <w:rPr>
          <w:lang w:val="es-CO"/>
        </w:rPr>
        <w:t>serían excesivas en aquellos lugares del mundo en los que el coco es un alimento básico. Si una persona puede tolerar</w:t>
      </w:r>
      <w:r w:rsidR="00A22EEF" w:rsidRPr="005A4B27">
        <w:rPr>
          <w:lang w:val="es-CO"/>
        </w:rPr>
        <w:t>,</w:t>
      </w:r>
      <w:r w:rsidRPr="005A4B27">
        <w:rPr>
          <w:lang w:val="es-CO"/>
        </w:rPr>
        <w:t xml:space="preserve"> o lle</w:t>
      </w:r>
      <w:r w:rsidR="00A22EEF" w:rsidRPr="005A4B27">
        <w:rPr>
          <w:lang w:val="es-CO"/>
        </w:rPr>
        <w:t>ga</w:t>
      </w:r>
      <w:r w:rsidRPr="005A4B27">
        <w:rPr>
          <w:lang w:val="es-CO"/>
        </w:rPr>
        <w:t xml:space="preserve">r a tolerar </w:t>
      </w:r>
      <w:r w:rsidR="00A22EEF" w:rsidRPr="005A4B27">
        <w:rPr>
          <w:lang w:val="es-CO"/>
        </w:rPr>
        <w:t xml:space="preserve">más, </w:t>
      </w:r>
      <w:r w:rsidRPr="005A4B27">
        <w:rPr>
          <w:lang w:val="es-CO"/>
        </w:rPr>
        <w:t xml:space="preserve">podría ser una </w:t>
      </w:r>
      <w:r w:rsidR="00A22EEF" w:rsidRPr="005A4B27">
        <w:rPr>
          <w:lang w:val="es-CO"/>
        </w:rPr>
        <w:t>b</w:t>
      </w:r>
      <w:r w:rsidRPr="005A4B27">
        <w:rPr>
          <w:lang w:val="es-CO"/>
        </w:rPr>
        <w:t xml:space="preserve">uena idea hacerlo. Como </w:t>
      </w:r>
      <w:r w:rsidR="00A22EEF" w:rsidRPr="005A4B27">
        <w:rPr>
          <w:lang w:val="es-CO"/>
        </w:rPr>
        <w:t>alternativa</w:t>
      </w:r>
      <w:r w:rsidRPr="005A4B27">
        <w:rPr>
          <w:lang w:val="es-CO"/>
        </w:rPr>
        <w:t xml:space="preserve">, se podría tomar 4 cucharaditas de </w:t>
      </w:r>
      <w:r w:rsidR="00A22EEF" w:rsidRPr="005A4B27">
        <w:rPr>
          <w:lang w:val="es-CO"/>
        </w:rPr>
        <w:t xml:space="preserve">aceite de </w:t>
      </w:r>
      <w:r w:rsidR="0017093E" w:rsidRPr="005A4B27">
        <w:rPr>
          <w:lang w:val="es-CO"/>
        </w:rPr>
        <w:t>TCM</w:t>
      </w:r>
      <w:r w:rsidR="00A22EEF" w:rsidRPr="005A4B27">
        <w:rPr>
          <w:lang w:val="es-CO"/>
        </w:rPr>
        <w:t xml:space="preserve"> una o dos veces al día, o más a menudo según la tolerancia.</w:t>
      </w:r>
    </w:p>
    <w:p w:rsidR="00A22EEF" w:rsidRPr="005A4B27" w:rsidRDefault="00A22EEF" w:rsidP="00A22EEF">
      <w:pPr>
        <w:jc w:val="both"/>
        <w:rPr>
          <w:lang w:val="es-CO"/>
        </w:rPr>
      </w:pPr>
      <w:r w:rsidRPr="005A4B27">
        <w:rPr>
          <w:lang w:val="es-CO"/>
        </w:rPr>
        <w:tab/>
      </w:r>
      <w:r w:rsidR="00C8694E" w:rsidRPr="005A4B27">
        <w:rPr>
          <w:lang w:val="es-CO"/>
        </w:rPr>
        <w:t xml:space="preserve">Algunas personas pueden experimentar una sensación de “llenura” o incluso tener </w:t>
      </w:r>
      <w:r w:rsidR="00AA40C7" w:rsidRPr="005A4B27">
        <w:rPr>
          <w:lang w:val="es-CO"/>
        </w:rPr>
        <w:t>diarr</w:t>
      </w:r>
      <w:r w:rsidR="00C8694E" w:rsidRPr="005A4B27">
        <w:rPr>
          <w:lang w:val="es-CO"/>
        </w:rPr>
        <w:t xml:space="preserve">ea si toman tanto </w:t>
      </w:r>
      <w:r w:rsidR="008F4806" w:rsidRPr="005A4B27">
        <w:rPr>
          <w:lang w:val="es-CO"/>
        </w:rPr>
        <w:t>al</w:t>
      </w:r>
      <w:r w:rsidR="00C8694E" w:rsidRPr="005A4B27">
        <w:rPr>
          <w:lang w:val="es-CO"/>
        </w:rPr>
        <w:t xml:space="preserve"> empezar, pero este problema se puede </w:t>
      </w:r>
      <w:r w:rsidR="00AA40C7" w:rsidRPr="005A4B27">
        <w:rPr>
          <w:lang w:val="es-CO"/>
        </w:rPr>
        <w:t>reduci</w:t>
      </w:r>
      <w:r w:rsidR="00C8694E" w:rsidRPr="005A4B27">
        <w:rPr>
          <w:lang w:val="es-CO"/>
        </w:rPr>
        <w:t xml:space="preserve">r empezando con una o dos cucharaditas e incrementando hasta </w:t>
      </w:r>
      <w:r w:rsidR="00AA40C7" w:rsidRPr="005A4B27">
        <w:rPr>
          <w:lang w:val="es-CO"/>
        </w:rPr>
        <w:t>completa</w:t>
      </w:r>
      <w:r w:rsidR="00C8694E" w:rsidRPr="005A4B27">
        <w:rPr>
          <w:lang w:val="es-CO"/>
        </w:rPr>
        <w:t xml:space="preserve">r la cantidad, a lo largo de una semana. Nosotros </w:t>
      </w:r>
      <w:r w:rsidR="008F4806" w:rsidRPr="005A4B27">
        <w:rPr>
          <w:lang w:val="es-CO"/>
        </w:rPr>
        <w:t>lo mezclamos con la</w:t>
      </w:r>
      <w:r w:rsidR="00C8694E" w:rsidRPr="005A4B27">
        <w:rPr>
          <w:lang w:val="es-CO"/>
        </w:rPr>
        <w:t xml:space="preserve"> avena, lo combinamos con los aliños para ensaladas, lo usamos para cocinar, y se lo echamos a cualquier cosa en la que normalmente untaríamos mantequilla, como papas, batata, arroz, pastas o fideos. El helado de coco se puede comprar en las tiendas </w:t>
      </w:r>
      <w:r w:rsidR="004C4759" w:rsidRPr="005A4B27">
        <w:rPr>
          <w:lang w:val="es-CO"/>
        </w:rPr>
        <w:t xml:space="preserve">de productos alimenticios </w:t>
      </w:r>
      <w:r w:rsidR="00C8694E" w:rsidRPr="005A4B27">
        <w:rPr>
          <w:lang w:val="es-CO"/>
        </w:rPr>
        <w:t>asi</w:t>
      </w:r>
      <w:r w:rsidR="004C4759" w:rsidRPr="005A4B27">
        <w:rPr>
          <w:lang w:val="es-CO"/>
        </w:rPr>
        <w:t>ático</w:t>
      </w:r>
      <w:r w:rsidR="00C8694E" w:rsidRPr="005A4B27">
        <w:rPr>
          <w:lang w:val="es-CO"/>
        </w:rPr>
        <w:t>s, contiene aceite de coco y es la forma más placentera que se me ocurre para producir cetonas. De igual forma, la leche de coco es una combinación del aceite de coco y el agua de coco y se puede comprar en las secciones de productos asiáticos y leches condensadas de muchas tiendas de v</w:t>
      </w:r>
      <w:r w:rsidR="00503C87" w:rsidRPr="005A4B27">
        <w:rPr>
          <w:lang w:val="es-CO"/>
        </w:rPr>
        <w:t>íveres. Es un agrada</w:t>
      </w:r>
      <w:r w:rsidR="00C8694E" w:rsidRPr="005A4B27">
        <w:rPr>
          <w:lang w:val="es-CO"/>
        </w:rPr>
        <w:t xml:space="preserve">ble sustituto de la leche, y se puede agregar en vez de leche, por ejemplo, al </w:t>
      </w:r>
      <w:r w:rsidR="00503C87" w:rsidRPr="005A4B27">
        <w:rPr>
          <w:lang w:val="es-CO"/>
        </w:rPr>
        <w:t>prepara</w:t>
      </w:r>
      <w:r w:rsidR="00C8694E" w:rsidRPr="005A4B27">
        <w:rPr>
          <w:lang w:val="es-CO"/>
        </w:rPr>
        <w:t xml:space="preserve">r huevos revueltos, tostadas francesas y </w:t>
      </w:r>
      <w:r w:rsidR="00E74557" w:rsidRPr="005A4B27">
        <w:rPr>
          <w:lang w:val="es-CO"/>
        </w:rPr>
        <w:t>puré</w:t>
      </w:r>
      <w:r w:rsidR="00C8694E" w:rsidRPr="005A4B27">
        <w:rPr>
          <w:lang w:val="es-CO"/>
        </w:rPr>
        <w:t xml:space="preserve"> de papas. </w:t>
      </w:r>
      <w:r w:rsidR="00503C87" w:rsidRPr="005A4B27">
        <w:rPr>
          <w:lang w:val="es-CO"/>
        </w:rPr>
        <w:t xml:space="preserve">Se puede calcular los tamaños de cada porción en las diversas combinaciones de alimentos que contienen coco </w:t>
      </w:r>
      <w:r w:rsidR="00E74557" w:rsidRPr="005A4B27">
        <w:rPr>
          <w:lang w:val="es-CO"/>
        </w:rPr>
        <w:t>equivalentes</w:t>
      </w:r>
      <w:r w:rsidR="00503C87" w:rsidRPr="005A4B27">
        <w:rPr>
          <w:lang w:val="es-CO"/>
        </w:rPr>
        <w:t xml:space="preserve"> a por lo menos 35 gramos de grasa del aceite de coco.</w:t>
      </w:r>
    </w:p>
    <w:p w:rsidR="00503C87" w:rsidRPr="005A4B27" w:rsidRDefault="00503C87" w:rsidP="00A22EEF">
      <w:pPr>
        <w:jc w:val="both"/>
        <w:rPr>
          <w:lang w:val="es-CO"/>
        </w:rPr>
      </w:pPr>
      <w:r w:rsidRPr="005A4B27">
        <w:rPr>
          <w:lang w:val="es-CO"/>
        </w:rPr>
        <w:tab/>
        <w:t>Si usted está usando cualquier tipo de aceite</w:t>
      </w:r>
      <w:r w:rsidR="003953F5" w:rsidRPr="005A4B27">
        <w:rPr>
          <w:lang w:val="es-CO"/>
        </w:rPr>
        <w:t xml:space="preserve"> </w:t>
      </w:r>
      <w:r w:rsidRPr="005A4B27">
        <w:rPr>
          <w:lang w:val="es-CO"/>
        </w:rPr>
        <w:t>vegetal hidrogenado o que contenga gr</w:t>
      </w:r>
      <w:r w:rsidR="00890391" w:rsidRPr="005A4B27">
        <w:rPr>
          <w:lang w:val="es-CO"/>
        </w:rPr>
        <w:t xml:space="preserve">asa trans, ¡no lo vuelva a usar </w:t>
      </w:r>
      <w:r w:rsidRPr="005A4B27">
        <w:rPr>
          <w:lang w:val="es-CO"/>
        </w:rPr>
        <w:t xml:space="preserve">y </w:t>
      </w:r>
      <w:r w:rsidR="00890391" w:rsidRPr="005A4B27">
        <w:rPr>
          <w:lang w:val="es-CO"/>
        </w:rPr>
        <w:t>bót</w:t>
      </w:r>
      <w:r w:rsidRPr="005A4B27">
        <w:rPr>
          <w:lang w:val="es-CO"/>
        </w:rPr>
        <w:t>elo! Con el aceite de coco se puede</w:t>
      </w:r>
      <w:r w:rsidR="00890391" w:rsidRPr="005A4B27">
        <w:rPr>
          <w:lang w:val="es-CO"/>
        </w:rPr>
        <w:t>n</w:t>
      </w:r>
      <w:r w:rsidRPr="005A4B27">
        <w:rPr>
          <w:lang w:val="es-CO"/>
        </w:rPr>
        <w:t xml:space="preserve"> usar el aceite de oliva extra virgen, la mantequilla y otros aceites naturales no hidrogenados. Se puede usar aceite de coco en lugar de todos los demás aceites, pero como no contiene ácidos grasos omega-3, es muy importante comer </w:t>
      </w:r>
      <w:r w:rsidR="004D02D1" w:rsidRPr="005A4B27">
        <w:rPr>
          <w:lang w:val="es-CO"/>
        </w:rPr>
        <w:t>salmó</w:t>
      </w:r>
      <w:r w:rsidRPr="005A4B27">
        <w:rPr>
          <w:lang w:val="es-CO"/>
        </w:rPr>
        <w:t xml:space="preserve">n dos veces por semana u obtener suficiente ácido graso omega-3 de otras fuentes como </w:t>
      </w:r>
      <w:r w:rsidR="004D02D1" w:rsidRPr="005A4B27">
        <w:rPr>
          <w:lang w:val="es-CO"/>
        </w:rPr>
        <w:t xml:space="preserve">son las </w:t>
      </w:r>
      <w:r w:rsidRPr="005A4B27">
        <w:rPr>
          <w:lang w:val="es-CO"/>
        </w:rPr>
        <w:t xml:space="preserve">cápsulas de aceite de pescado, </w:t>
      </w:r>
      <w:r w:rsidR="004D02D1" w:rsidRPr="005A4B27">
        <w:rPr>
          <w:lang w:val="es-CO"/>
        </w:rPr>
        <w:t xml:space="preserve">la </w:t>
      </w:r>
      <w:r w:rsidRPr="005A4B27">
        <w:rPr>
          <w:lang w:val="es-CO"/>
        </w:rPr>
        <w:t xml:space="preserve">linaza, </w:t>
      </w:r>
      <w:r w:rsidR="004D02D1" w:rsidRPr="005A4B27">
        <w:rPr>
          <w:lang w:val="es-CO"/>
        </w:rPr>
        <w:t xml:space="preserve">el </w:t>
      </w:r>
      <w:r w:rsidRPr="005A4B27">
        <w:rPr>
          <w:lang w:val="es-CO"/>
        </w:rPr>
        <w:t xml:space="preserve">aceite de linaza (que no sirve para cocinar) o </w:t>
      </w:r>
      <w:r w:rsidR="004D02D1" w:rsidRPr="005A4B27">
        <w:rPr>
          <w:lang w:val="es-CO"/>
        </w:rPr>
        <w:t xml:space="preserve">las </w:t>
      </w:r>
      <w:r w:rsidRPr="005A4B27">
        <w:rPr>
          <w:lang w:val="es-CO"/>
        </w:rPr>
        <w:t>nueces.</w:t>
      </w:r>
    </w:p>
    <w:p w:rsidR="00503C87" w:rsidRPr="005A4B27" w:rsidRDefault="00503C87" w:rsidP="00A22EEF">
      <w:pPr>
        <w:jc w:val="both"/>
        <w:rPr>
          <w:lang w:val="es-CO"/>
        </w:rPr>
      </w:pPr>
      <w:r w:rsidRPr="005A4B27">
        <w:rPr>
          <w:lang w:val="es-CO"/>
        </w:rPr>
        <w:tab/>
        <w:t xml:space="preserve">Resulta inconcebible que la potencial prevención y cura </w:t>
      </w:r>
      <w:r w:rsidR="00FA7582" w:rsidRPr="005A4B27">
        <w:rPr>
          <w:lang w:val="es-CO"/>
        </w:rPr>
        <w:t>para la enfer</w:t>
      </w:r>
      <w:r w:rsidR="00C6558B" w:rsidRPr="005A4B27">
        <w:rPr>
          <w:lang w:val="es-CO"/>
        </w:rPr>
        <w:t>medad de Alzheimer, y otras enfermedades neurodegenerativas, haya estado ahí por tantos años y sin</w:t>
      </w:r>
      <w:r w:rsidR="004D02D1" w:rsidRPr="005A4B27">
        <w:rPr>
          <w:lang w:val="es-CO"/>
        </w:rPr>
        <w:t xml:space="preserve"> </w:t>
      </w:r>
      <w:r w:rsidR="00C6558B" w:rsidRPr="005A4B27">
        <w:rPr>
          <w:lang w:val="es-CO"/>
        </w:rPr>
        <w:t xml:space="preserve">embargo haya pasado desapercibida. Es muy probable que todas estas enfermedades </w:t>
      </w:r>
      <w:r w:rsidR="00FA7582" w:rsidRPr="005A4B27">
        <w:rPr>
          <w:lang w:val="es-CO"/>
        </w:rPr>
        <w:t xml:space="preserve">se estén volviendo más </w:t>
      </w:r>
      <w:r w:rsidR="004D02D1" w:rsidRPr="005A4B27">
        <w:rPr>
          <w:lang w:val="es-CO"/>
        </w:rPr>
        <w:t>co</w:t>
      </w:r>
      <w:r w:rsidR="00FA7582" w:rsidRPr="005A4B27">
        <w:rPr>
          <w:lang w:val="es-CO"/>
        </w:rPr>
        <w:t xml:space="preserve">munes debido a nuestra dieta actual. La dieta en los Estados Unidos ha cambiado drásticamente de lo que era antes de la década de 1950, cuando nuestros padres y abuelos utilizaban grasa de cerdo y aceite de coco para cocinar. </w:t>
      </w:r>
      <w:r w:rsidR="008A098E" w:rsidRPr="005A4B27">
        <w:rPr>
          <w:lang w:val="es-CO"/>
        </w:rPr>
        <w:t>A principios del siglo 20 la</w:t>
      </w:r>
      <w:r w:rsidR="00FA7582" w:rsidRPr="005A4B27">
        <w:rPr>
          <w:lang w:val="es-CO"/>
        </w:rPr>
        <w:t xml:space="preserve"> enfermedad cardiovascular era </w:t>
      </w:r>
      <w:r w:rsidR="008A098E" w:rsidRPr="005A4B27">
        <w:rPr>
          <w:lang w:val="es-CO"/>
        </w:rPr>
        <w:t>poco común,</w:t>
      </w:r>
      <w:r w:rsidR="00FA7582" w:rsidRPr="005A4B27">
        <w:rPr>
          <w:lang w:val="es-CO"/>
        </w:rPr>
        <w:t xml:space="preserve"> y s</w:t>
      </w:r>
      <w:r w:rsidR="008A098E" w:rsidRPr="005A4B27">
        <w:rPr>
          <w:lang w:val="es-CO"/>
        </w:rPr>
        <w:t>e ha disparado</w:t>
      </w:r>
      <w:r w:rsidR="00FA7582" w:rsidRPr="005A4B27">
        <w:rPr>
          <w:lang w:val="es-CO"/>
        </w:rPr>
        <w:t xml:space="preserve"> </w:t>
      </w:r>
      <w:r w:rsidR="008A098E" w:rsidRPr="005A4B27">
        <w:rPr>
          <w:lang w:val="es-CO"/>
        </w:rPr>
        <w:t>(</w:t>
      </w:r>
      <w:r w:rsidR="00FA7582" w:rsidRPr="005A4B27">
        <w:rPr>
          <w:lang w:val="es-CO"/>
        </w:rPr>
        <w:t>junto con otras enfermedades devastadoras como el Alzheimer, la diabetes tipo II,</w:t>
      </w:r>
      <w:r w:rsidR="008A098E" w:rsidRPr="005A4B27">
        <w:rPr>
          <w:lang w:val="es-CO"/>
        </w:rPr>
        <w:t xml:space="preserve"> y la obesidad)</w:t>
      </w:r>
      <w:r w:rsidR="00FA7582" w:rsidRPr="005A4B27">
        <w:rPr>
          <w:lang w:val="es-CO"/>
        </w:rPr>
        <w:t xml:space="preserve"> desde que los aceites vegetales hidrogenad</w:t>
      </w:r>
      <w:r w:rsidR="004D02D1" w:rsidRPr="005A4B27">
        <w:rPr>
          <w:lang w:val="es-CO"/>
        </w:rPr>
        <w:t>os que contienen grasa trans em</w:t>
      </w:r>
      <w:r w:rsidR="00FA7582" w:rsidRPr="005A4B27">
        <w:rPr>
          <w:lang w:val="es-CO"/>
        </w:rPr>
        <w:t>p</w:t>
      </w:r>
      <w:r w:rsidR="004D02D1" w:rsidRPr="005A4B27">
        <w:rPr>
          <w:lang w:val="es-CO"/>
        </w:rPr>
        <w:t>ezaron a producirse masivamente</w:t>
      </w:r>
      <w:r w:rsidR="00FA7582" w:rsidRPr="005A4B27">
        <w:rPr>
          <w:lang w:val="es-CO"/>
        </w:rPr>
        <w:t xml:space="preserve"> y reemplazaron </w:t>
      </w:r>
      <w:r w:rsidR="00AE39BF" w:rsidRPr="005A4B27">
        <w:rPr>
          <w:lang w:val="es-CO"/>
        </w:rPr>
        <w:t>a las</w:t>
      </w:r>
      <w:r w:rsidR="00FA7582" w:rsidRPr="005A4B27">
        <w:rPr>
          <w:lang w:val="es-CO"/>
        </w:rPr>
        <w:t xml:space="preserve"> otras grasas naturales. Lamentablemente, la incidencia de la enfermedad cardiovascular y otras </w:t>
      </w:r>
      <w:r w:rsidR="004D02D1" w:rsidRPr="005A4B27">
        <w:rPr>
          <w:lang w:val="es-CO"/>
        </w:rPr>
        <w:t xml:space="preserve">enfermedades </w:t>
      </w:r>
      <w:r w:rsidR="00FA7582" w:rsidRPr="005A4B27">
        <w:rPr>
          <w:lang w:val="es-CO"/>
        </w:rPr>
        <w:t>graves, está empezando a volverse más y más común en personas de otr</w:t>
      </w:r>
      <w:r w:rsidR="004D02D1" w:rsidRPr="005A4B27">
        <w:rPr>
          <w:lang w:val="es-CO"/>
        </w:rPr>
        <w:t xml:space="preserve">os países </w:t>
      </w:r>
      <w:r w:rsidR="00FA7582" w:rsidRPr="005A4B27">
        <w:rPr>
          <w:lang w:val="es-CO"/>
        </w:rPr>
        <w:t>del mundo que han cambiado sus alimentos autóctono</w:t>
      </w:r>
      <w:r w:rsidR="004D02D1" w:rsidRPr="005A4B27">
        <w:rPr>
          <w:lang w:val="es-CO"/>
        </w:rPr>
        <w:t>s por los de un</w:t>
      </w:r>
      <w:r w:rsidR="00FA7582" w:rsidRPr="005A4B27">
        <w:rPr>
          <w:lang w:val="es-CO"/>
        </w:rPr>
        <w:t>a dieta “occidental”.</w:t>
      </w:r>
    </w:p>
    <w:p w:rsidR="00FA7582" w:rsidRPr="005A4B27" w:rsidRDefault="00FA7582" w:rsidP="00A22EEF">
      <w:pPr>
        <w:jc w:val="both"/>
        <w:rPr>
          <w:lang w:val="es-CO"/>
        </w:rPr>
      </w:pPr>
      <w:r w:rsidRPr="005A4B27">
        <w:rPr>
          <w:lang w:val="es-CO"/>
        </w:rPr>
        <w:tab/>
        <w:t xml:space="preserve">Mi propósito es contarle a todo el que </w:t>
      </w:r>
      <w:r w:rsidR="004D02D1" w:rsidRPr="005A4B27">
        <w:rPr>
          <w:lang w:val="es-CO"/>
        </w:rPr>
        <w:t xml:space="preserve">yo </w:t>
      </w:r>
      <w:r w:rsidRPr="005A4B27">
        <w:rPr>
          <w:lang w:val="es-CO"/>
        </w:rPr>
        <w:t>pueda y hacer</w:t>
      </w:r>
      <w:r w:rsidR="004D02D1" w:rsidRPr="005A4B27">
        <w:rPr>
          <w:lang w:val="es-CO"/>
        </w:rPr>
        <w:t>le</w:t>
      </w:r>
      <w:r w:rsidRPr="005A4B27">
        <w:rPr>
          <w:lang w:val="es-CO"/>
        </w:rPr>
        <w:t xml:space="preserve"> llegar esta información a personas del área de investigación </w:t>
      </w:r>
      <w:r w:rsidR="00E74557" w:rsidRPr="005A4B27">
        <w:rPr>
          <w:lang w:val="es-CO"/>
        </w:rPr>
        <w:t>con</w:t>
      </w:r>
      <w:r w:rsidRPr="005A4B27">
        <w:rPr>
          <w:lang w:val="es-CO"/>
        </w:rPr>
        <w:t xml:space="preserve"> la esperanza de que el Dr. Veech y otros investigadores del aceite </w:t>
      </w:r>
      <w:r w:rsidR="0017093E" w:rsidRPr="005A4B27">
        <w:rPr>
          <w:lang w:val="es-CO"/>
        </w:rPr>
        <w:t>de TCM</w:t>
      </w:r>
      <w:r w:rsidRPr="005A4B27">
        <w:rPr>
          <w:lang w:val="es-CO"/>
        </w:rPr>
        <w:t xml:space="preserve"> y las cetonas obtengan los fondos que se requieren. </w:t>
      </w:r>
      <w:r w:rsidR="00D143CA" w:rsidRPr="005A4B27">
        <w:rPr>
          <w:lang w:val="es-CO"/>
        </w:rPr>
        <w:t>Copie usted tranquilamente este artículo y hágalo circular</w:t>
      </w:r>
      <w:r w:rsidR="00CB0174" w:rsidRPr="005A4B27">
        <w:rPr>
          <w:lang w:val="es-CO"/>
        </w:rPr>
        <w:t>.</w:t>
      </w:r>
    </w:p>
    <w:p w:rsidR="00CB0174" w:rsidRPr="005A4B27" w:rsidRDefault="00CB0174" w:rsidP="00A22EEF">
      <w:pPr>
        <w:jc w:val="both"/>
        <w:rPr>
          <w:lang w:val="es-CO"/>
        </w:rPr>
      </w:pPr>
      <w:r w:rsidRPr="005A4B27">
        <w:rPr>
          <w:lang w:val="es-CO"/>
        </w:rPr>
        <w:tab/>
        <w:t>Si tiene un ser querido o un paciente con</w:t>
      </w:r>
      <w:r w:rsidR="004D02D1" w:rsidRPr="005A4B27">
        <w:rPr>
          <w:lang w:val="es-CO"/>
        </w:rPr>
        <w:t xml:space="preserve"> Alzheimer</w:t>
      </w:r>
      <w:r w:rsidRPr="005A4B27">
        <w:rPr>
          <w:lang w:val="es-CO"/>
        </w:rPr>
        <w:t xml:space="preserve"> o cualquier otra enfermedad neurodegenerativa, considere probar el aceite de coco. El Dr. Veech sugiere que, de ser posible, se tome un video de la persona antes de empezar y en diversos puntos después de iniciado el uso del aceite de coco, sería muy útil </w:t>
      </w:r>
      <w:r w:rsidR="004D02D1" w:rsidRPr="005A4B27">
        <w:rPr>
          <w:lang w:val="es-CO"/>
        </w:rPr>
        <w:t xml:space="preserve">como </w:t>
      </w:r>
      <w:r w:rsidRPr="005A4B27">
        <w:rPr>
          <w:lang w:val="es-CO"/>
        </w:rPr>
        <w:t xml:space="preserve">documentación. Sugiere incluir segmentos con el rostro, habla y caminado de las personas, </w:t>
      </w:r>
      <w:r w:rsidR="00A177BA" w:rsidRPr="005A4B27">
        <w:rPr>
          <w:lang w:val="es-CO"/>
        </w:rPr>
        <w:t>y también aconseja</w:t>
      </w:r>
      <w:r w:rsidRPr="005A4B27">
        <w:rPr>
          <w:lang w:val="es-CO"/>
        </w:rPr>
        <w:t xml:space="preserve"> medir las cetonas, ¿Qué puede perder si lo hace?</w:t>
      </w:r>
    </w:p>
    <w:p w:rsidR="00A177BA" w:rsidRPr="005A4B27" w:rsidRDefault="00A177BA" w:rsidP="00A177BA">
      <w:pPr>
        <w:pBdr>
          <w:bottom w:val="single" w:sz="4" w:space="1" w:color="auto"/>
        </w:pBdr>
        <w:jc w:val="both"/>
        <w:rPr>
          <w:lang w:val="en-US"/>
        </w:rPr>
      </w:pPr>
    </w:p>
    <w:p w:rsidR="00A177BA" w:rsidRPr="005A4B27" w:rsidRDefault="00A177BA" w:rsidP="00A22EEF">
      <w:pPr>
        <w:jc w:val="both"/>
        <w:rPr>
          <w:lang w:val="en-US"/>
        </w:rPr>
      </w:pPr>
    </w:p>
    <w:p w:rsidR="00A177BA" w:rsidRPr="005A4B27" w:rsidRDefault="00A177BA" w:rsidP="00A22EEF">
      <w:pPr>
        <w:jc w:val="both"/>
        <w:rPr>
          <w:i/>
          <w:lang w:val="en-US"/>
        </w:rPr>
      </w:pPr>
      <w:r w:rsidRPr="005A4B27">
        <w:rPr>
          <w:i/>
          <w:lang w:val="en-US"/>
        </w:rPr>
        <w:t>Referencias</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1. “Ketone bodies, potential therapeutic uses,” RL Veech, B Chance, Y Kashiwaya, HA Lardy, GC Cahill, Jr., IUBMB Life, 2001, Vol. 51 No.4, 241-247</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2. “Ketoacids? Good Medicine?” George F. Cahill, Jr., Richard L. Veech, Transactions of the American Clinical and Climatological Association,</w:t>
      </w:r>
      <w:r w:rsidR="00633F43" w:rsidRPr="005A4B27">
        <w:rPr>
          <w:rFonts w:ascii="CenturyOldStyle-Regular" w:hAnsi="CenturyOldStyle-Regular" w:cs="CenturyOldStyle-Regular"/>
          <w:sz w:val="22"/>
          <w:szCs w:val="22"/>
          <w:lang w:val="es-CO" w:eastAsia="es-CO"/>
        </w:rPr>
        <w:t xml:space="preserve"> </w:t>
      </w:r>
      <w:r w:rsidRPr="005A4B27">
        <w:rPr>
          <w:rFonts w:ascii="CenturyOldStyle-Regular" w:hAnsi="CenturyOldStyle-Regular" w:cs="CenturyOldStyle-Regular"/>
          <w:sz w:val="22"/>
          <w:szCs w:val="22"/>
          <w:lang w:val="es-CO" w:eastAsia="es-CO"/>
        </w:rPr>
        <w:t>Vol. 114, 2003.</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3. “The therapaeutic implications of ketone bodies: the effects of ketone bodies in pathological conditions: ketosis, ketogenic diet, redox states, insulin resistance, and mitochondrial metabolism,” Richard L. Veech, Prostaglandins, Leukotrienes and Essential Fatty Acids, 70 (2004) 309-319.</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4. “Diminished glucose transport and phosphorylation in Alzheimer’s Disease determined by dynamic FDG-PET,” M Piert, et.al., The Journal of Nuclear Medicine, Vol.37 No.2, February 1996, 201-208.</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5. “Glucose metabolism in early onset versus late onset Alzheimer’s Disease: an SPM analysis of 120 patients,” EJ Kim, et. al., Brain, 2005,</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Vol. 128, 1790-1801.</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6. “Cerebral glucose metabolism in Parkinson’s disease with and without dementia,” RF Peppard, et.al., Archives of Neurology, Vol. 49 No.12,</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December 1992.</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7. “Cortical and subcortical glucose consumption measured by PET in patients with Huntington’s disease,” Brain, October 1990, Vol 113, part 5, 1405-23.</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8. “Reduced glucose metabolism in the frontal cortex and basal ganglia of multiple sclerosis patients with fatigue: a 18F-fluorodeoxyglucose positron emission tomography study,” U Roelcke, et. al., Neurology, 1997, Vol. 48, Issue 6, 1566-1571.</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9. “ALS-linked Cu/Zn-SOD mutation impairs cerebral synaptic glucose and glutamate transport and exacerbates ischemic brain injury,” Z Guo, et. al., Journal of Cerebral Blood Flow Metabolism, March 2000, Vol. 20 No. 3, 463-8.</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10. “Combinations of medium chain triglycerides and therapeutic agents for the treatment and prevention of Alzheimer’s disease and other diseases resulting from reduced neuronal metabolism,” United States Patent 20080009467, Inventor Samuel T. Henderson, Accera, Inc., Broomfield,</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Colorado (Ketasyn).</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11. Nutrient analysis of coconut oil (vegetable), NDB No: 04047 – www.nal.usda.gov/fnic/foodcomp .</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12. “Lipids in (human) milk and the first steps in their digestion,” M Hamosh, et. al., Pediatrics, 1985, Vol. 75, 146-150.</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13. “Nutritional factors and serum lipid levels,” EH Ahrens, American Journal of Medicine, 1957, vol. 23, 928 (used hydrogenated coconut oil).</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14. “Trans fatty acids and coronary artery disease,” NEJM, 1999, Vol. 340, 1994-1998.</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15. “Effect of mixed fat formula feeding on serum cholesterol level in man,” SA Hashim, American Journal of Clinical Nutrition, 1959, Vol. 7, 30-34.</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16. “Modified-fat dietary management of the young male with coronary disease: a five-year report,” JL Bierenbaum, JAMA, 1967, Vol. 202, 1119-1123.</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17. “Cholesterol, coconuts and diet in Polynesian atolls-a natural experiment; the Pukapuka and Toklau island studies,” IA Prior, American Journal of Clinical Nutrition, 1981, Vol. 34, 1552-1561.</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18. “Changes in cerebral blood flow and carbohydrate metabolism during acute hyperketonemia,” S.G. Hasselbalch, et.al, Am J Physiol, 1996,</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Vol. 270, E746-51.</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19. “Effect of hyperketonemia and hyperlacticacidemia on symptoms, cognitive dysfunction, and counterregulatory hormone responses during hypoglycemia in normal humans,” T. Veneman, et. al., Diabetes 43:1311-7 (1994).</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20. “D-b-Hydroxybutyrate protects neurons in models of Alzheimer’s and Parkinson’s disease,” Y Kashiwaya, et. al. including RL Veech, PNAS, May 9, 2000, Vol. 97 No. 10, 5440-5444.</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21. “High carbohydrate diets and Alzheimer’s disease,” Samuel T. Henderson, Medical Hypotheses, 2004, Vol 62, 689-700 (Another article of interest).</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22. “Effects of b-Hydroxybutyrate on cognition in memory-impaired adults,” MA Reger, ST Henderson, et. al., Neurobiology of Aging, 2004,</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Vol. 25, 311-314.</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23. “Breastfeeding, infant formula supplementation, and Autistic Disorder: the results of a parent survey,” ST Schultz, et. al., International Breastfeeding Journal, 2006, Vol. 1 No. 16.</w:t>
      </w:r>
    </w:p>
    <w:p w:rsidR="00A177BA" w:rsidRPr="005A4B27" w:rsidRDefault="00A177BA" w:rsidP="00A177BA">
      <w:pPr>
        <w:autoSpaceDE w:val="0"/>
        <w:autoSpaceDN w:val="0"/>
        <w:adjustRightInd w:val="0"/>
        <w:rPr>
          <w:rFonts w:ascii="CenturyOldStyle-Italic" w:hAnsi="CenturyOldStyle-Italic" w:cs="CenturyOldStyle-Italic"/>
          <w:i/>
          <w:iCs/>
          <w:sz w:val="22"/>
          <w:szCs w:val="22"/>
          <w:lang w:val="es-CO" w:eastAsia="es-CO"/>
        </w:rPr>
      </w:pPr>
      <w:r w:rsidRPr="005A4B27">
        <w:rPr>
          <w:rFonts w:ascii="CenturyOldStyle-Italic" w:hAnsi="CenturyOldStyle-Italic" w:cs="CenturyOldStyle-Italic"/>
          <w:i/>
          <w:iCs/>
          <w:sz w:val="22"/>
          <w:szCs w:val="22"/>
          <w:lang w:val="es-CO" w:eastAsia="es-CO"/>
        </w:rPr>
        <w:t>Other Important Resources</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“Ketones: Metabolism’s Ugly Duckling,” TB VanItallie, TH Nufert, Nutrition Reviews, Vol 61, No 10, 327-341.</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“Fuel Metabolism in Starvation,” GF Cahill, Jr., Annual Reviews in Nutrition, 2006, 26:1-22.</w:t>
      </w:r>
    </w:p>
    <w:p w:rsidR="00A177BA" w:rsidRPr="005A4B27" w:rsidRDefault="00A177BA" w:rsidP="00A177BA">
      <w:pPr>
        <w:autoSpaceDE w:val="0"/>
        <w:autoSpaceDN w:val="0"/>
        <w:adjustRightInd w:val="0"/>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“Ketone Bodies as a Therapeutic for Alzheimer’s Disease,” ST Henderson, Journal of the American Society for Experimental NeuroTherapeutics,</w:t>
      </w:r>
    </w:p>
    <w:p w:rsidR="00A177BA" w:rsidRPr="005A4B27" w:rsidRDefault="00A177BA" w:rsidP="00A177BA">
      <w:pPr>
        <w:jc w:val="both"/>
        <w:rPr>
          <w:rFonts w:ascii="CenturyOldStyle-Regular" w:hAnsi="CenturyOldStyle-Regular" w:cs="CenturyOldStyle-Regular"/>
          <w:sz w:val="22"/>
          <w:szCs w:val="22"/>
          <w:lang w:val="es-CO" w:eastAsia="es-CO"/>
        </w:rPr>
      </w:pPr>
      <w:r w:rsidRPr="005A4B27">
        <w:rPr>
          <w:rFonts w:ascii="CenturyOldStyle-Regular" w:hAnsi="CenturyOldStyle-Regular" w:cs="CenturyOldStyle-Regular"/>
          <w:sz w:val="22"/>
          <w:szCs w:val="22"/>
          <w:lang w:val="es-CO" w:eastAsia="es-CO"/>
        </w:rPr>
        <w:t>Vol 5, 470-480, July 2008.</w:t>
      </w:r>
    </w:p>
    <w:p w:rsidR="00B058BF" w:rsidRPr="005A4B27" w:rsidRDefault="00B058BF" w:rsidP="00A177BA">
      <w:pPr>
        <w:jc w:val="both"/>
        <w:rPr>
          <w:rFonts w:ascii="CenturyOldStyle-Regular" w:hAnsi="CenturyOldStyle-Regular" w:cs="CenturyOldStyle-Regular"/>
          <w:sz w:val="20"/>
          <w:szCs w:val="20"/>
          <w:lang w:val="es-CO" w:eastAsia="es-CO"/>
        </w:rPr>
      </w:pPr>
    </w:p>
    <w:p w:rsidR="00B058BF" w:rsidRPr="005A4B27" w:rsidRDefault="00B058BF">
      <w:pPr>
        <w:rPr>
          <w:rFonts w:ascii="CenturyOldStyle-Regular" w:hAnsi="CenturyOldStyle-Regular" w:cs="CenturyOldStyle-Regular"/>
          <w:sz w:val="17"/>
          <w:szCs w:val="17"/>
          <w:lang w:val="es-CO" w:eastAsia="es-CO"/>
        </w:rPr>
      </w:pPr>
      <w:r w:rsidRPr="005A4B27">
        <w:rPr>
          <w:rFonts w:ascii="CenturyOldStyle-Regular" w:hAnsi="CenturyOldStyle-Regular" w:cs="CenturyOldStyle-Regular"/>
          <w:sz w:val="17"/>
          <w:szCs w:val="17"/>
          <w:lang w:val="es-CO" w:eastAsia="es-CO"/>
        </w:rPr>
        <w:br w:type="page"/>
      </w:r>
    </w:p>
    <w:p w:rsidR="00B058BF" w:rsidRPr="005A4B27" w:rsidRDefault="00B058BF" w:rsidP="00A177BA">
      <w:pPr>
        <w:jc w:val="both"/>
        <w:rPr>
          <w:rFonts w:ascii="CenturyOldStyle-Regular" w:hAnsi="CenturyOldStyle-Regular" w:cs="CenturyOldStyle-Regular"/>
          <w:sz w:val="17"/>
          <w:szCs w:val="17"/>
          <w:lang w:val="es-CO" w:eastAsia="es-CO"/>
        </w:rPr>
      </w:pPr>
      <w:r w:rsidRPr="005A4B27">
        <w:rPr>
          <w:rFonts w:ascii="CenturyOldStyle-Regular" w:hAnsi="CenturyOldStyle-Regular" w:cs="CenturyOldStyle-Regular"/>
          <w:noProof/>
          <w:sz w:val="17"/>
          <w:szCs w:val="17"/>
          <w:lang w:val="en-US" w:eastAsia="en-US"/>
        </w:rPr>
        <w:drawing>
          <wp:inline distT="0" distB="0" distL="0" distR="0" wp14:anchorId="5C8ACCAE" wp14:editId="53DB212D">
            <wp:extent cx="5400040" cy="653310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533109"/>
                    </a:xfrm>
                    <a:prstGeom prst="rect">
                      <a:avLst/>
                    </a:prstGeom>
                    <a:noFill/>
                    <a:ln>
                      <a:noFill/>
                    </a:ln>
                  </pic:spPr>
                </pic:pic>
              </a:graphicData>
            </a:graphic>
          </wp:inline>
        </w:drawing>
      </w:r>
    </w:p>
    <w:p w:rsidR="00B058BF" w:rsidRPr="005A4B27" w:rsidRDefault="00B058BF" w:rsidP="00A177BA">
      <w:pPr>
        <w:jc w:val="both"/>
        <w:rPr>
          <w:rFonts w:ascii="CenturyOldStyle-Regular" w:hAnsi="CenturyOldStyle-Regular" w:cs="CenturyOldStyle-Regular"/>
          <w:sz w:val="17"/>
          <w:szCs w:val="17"/>
          <w:lang w:val="es-CO" w:eastAsia="es-CO"/>
        </w:rPr>
      </w:pPr>
    </w:p>
    <w:p w:rsidR="00B058BF" w:rsidRPr="005A4B27" w:rsidRDefault="00B058BF" w:rsidP="00A177BA">
      <w:pPr>
        <w:jc w:val="both"/>
        <w:rPr>
          <w:rFonts w:ascii="CenturyOldStyle-Regular" w:hAnsi="CenturyOldStyle-Regular" w:cs="CenturyOldStyle-Regular"/>
          <w:sz w:val="17"/>
          <w:szCs w:val="17"/>
          <w:lang w:val="es-CO" w:eastAsia="es-CO"/>
        </w:rPr>
      </w:pPr>
    </w:p>
    <w:p w:rsidR="00B058BF" w:rsidRPr="005A4B27" w:rsidRDefault="00B058BF" w:rsidP="00A177BA">
      <w:pPr>
        <w:jc w:val="both"/>
        <w:rPr>
          <w:rFonts w:ascii="CenturyOldStyle-Regular" w:hAnsi="CenturyOldStyle-Regular" w:cs="CenturyOldStyle-Regular"/>
          <w:sz w:val="17"/>
          <w:szCs w:val="17"/>
          <w:lang w:val="es-CO" w:eastAsia="es-CO"/>
        </w:rPr>
      </w:pPr>
    </w:p>
    <w:p w:rsidR="00B058BF" w:rsidRPr="005A4B27" w:rsidRDefault="00B058BF" w:rsidP="00A177BA">
      <w:pPr>
        <w:jc w:val="both"/>
        <w:rPr>
          <w:rFonts w:ascii="CenturyOldStyle-Regular" w:hAnsi="CenturyOldStyle-Regular" w:cs="CenturyOldStyle-Regular"/>
          <w:sz w:val="17"/>
          <w:szCs w:val="17"/>
          <w:lang w:val="es-CO" w:eastAsia="es-CO"/>
        </w:rPr>
      </w:pPr>
    </w:p>
    <w:p w:rsidR="00B058BF" w:rsidRPr="005A4B27" w:rsidRDefault="00B058BF" w:rsidP="00A177BA">
      <w:pPr>
        <w:jc w:val="both"/>
        <w:rPr>
          <w:rFonts w:ascii="CenturyOldStyle-Regular" w:hAnsi="CenturyOldStyle-Regular" w:cs="CenturyOldStyle-Regular"/>
          <w:sz w:val="17"/>
          <w:szCs w:val="17"/>
          <w:lang w:val="es-CO" w:eastAsia="es-CO"/>
        </w:rPr>
      </w:pPr>
    </w:p>
    <w:p w:rsidR="00B058BF" w:rsidRPr="005A4B27" w:rsidRDefault="00B058BF" w:rsidP="00A177BA">
      <w:pPr>
        <w:jc w:val="both"/>
        <w:rPr>
          <w:rFonts w:ascii="CenturyOldStyle-Regular" w:hAnsi="CenturyOldStyle-Regular" w:cs="CenturyOldStyle-Regular"/>
          <w:sz w:val="17"/>
          <w:szCs w:val="17"/>
          <w:lang w:val="es-CO" w:eastAsia="es-CO"/>
        </w:rPr>
      </w:pPr>
    </w:p>
    <w:p w:rsidR="00B058BF" w:rsidRPr="005A4B27" w:rsidRDefault="00B058BF" w:rsidP="00A177BA">
      <w:pPr>
        <w:jc w:val="both"/>
        <w:rPr>
          <w:rFonts w:ascii="CenturyOldStyle-Regular" w:hAnsi="CenturyOldStyle-Regular" w:cs="CenturyOldStyle-Regular"/>
          <w:sz w:val="17"/>
          <w:szCs w:val="17"/>
          <w:lang w:val="es-CO" w:eastAsia="es-CO"/>
        </w:rPr>
      </w:pPr>
    </w:p>
    <w:p w:rsidR="00B058BF" w:rsidRPr="005A4B27" w:rsidRDefault="00B058BF" w:rsidP="00A177BA">
      <w:pPr>
        <w:jc w:val="both"/>
        <w:rPr>
          <w:rFonts w:ascii="CenturyOldStyle-Regular" w:hAnsi="CenturyOldStyle-Regular" w:cs="CenturyOldStyle-Regular"/>
          <w:sz w:val="17"/>
          <w:szCs w:val="17"/>
          <w:lang w:val="es-CO" w:eastAsia="es-CO"/>
        </w:rPr>
      </w:pPr>
    </w:p>
    <w:p w:rsidR="00B058BF" w:rsidRPr="005A4B27" w:rsidRDefault="00B058BF" w:rsidP="00A177BA">
      <w:pPr>
        <w:jc w:val="both"/>
        <w:rPr>
          <w:rFonts w:ascii="CenturyOldStyle-Regular" w:hAnsi="CenturyOldStyle-Regular" w:cs="CenturyOldStyle-Regular"/>
          <w:sz w:val="17"/>
          <w:szCs w:val="17"/>
          <w:lang w:val="es-CO" w:eastAsia="es-CO"/>
        </w:rPr>
      </w:pPr>
    </w:p>
    <w:p w:rsidR="00B058BF" w:rsidRPr="005A4B27" w:rsidRDefault="00B058BF" w:rsidP="00A177BA">
      <w:pPr>
        <w:jc w:val="both"/>
        <w:rPr>
          <w:rFonts w:ascii="Arial" w:hAnsi="Arial" w:cs="Arial"/>
          <w:b/>
          <w:i/>
          <w:lang w:val="es-CO" w:eastAsia="es-CO"/>
        </w:rPr>
      </w:pPr>
      <w:r w:rsidRPr="005A4B27">
        <w:rPr>
          <w:rFonts w:ascii="Arial" w:hAnsi="Arial" w:cs="Arial"/>
          <w:b/>
          <w:i/>
          <w:lang w:val="es-CO" w:eastAsia="es-CO"/>
        </w:rPr>
        <w:t>Reloj #1 – El día antes de iniciar el aceite de coco.</w:t>
      </w:r>
    </w:p>
    <w:p w:rsidR="00B058BF" w:rsidRPr="005A4B27" w:rsidRDefault="00B058BF" w:rsidP="002D1DF1">
      <w:pPr>
        <w:pBdr>
          <w:bottom w:val="single" w:sz="4" w:space="1" w:color="auto"/>
        </w:pBdr>
        <w:jc w:val="both"/>
        <w:rPr>
          <w:rFonts w:ascii="Arial" w:hAnsi="Arial" w:cs="Arial"/>
          <w:b/>
          <w:i/>
          <w:lang w:val="es-CO" w:eastAsia="es-CO"/>
        </w:rPr>
      </w:pPr>
    </w:p>
    <w:p w:rsidR="00B058BF" w:rsidRPr="005A4B27" w:rsidRDefault="00B058BF" w:rsidP="00A177BA">
      <w:pPr>
        <w:jc w:val="both"/>
        <w:rPr>
          <w:rFonts w:ascii="Arial" w:hAnsi="Arial" w:cs="Arial"/>
          <w:b/>
          <w:i/>
          <w:lang w:val="es-CO" w:eastAsia="es-CO"/>
        </w:rPr>
      </w:pPr>
    </w:p>
    <w:p w:rsidR="00B058BF" w:rsidRPr="005A4B27" w:rsidRDefault="00B058BF">
      <w:pPr>
        <w:rPr>
          <w:rFonts w:ascii="Arial" w:hAnsi="Arial" w:cs="Arial"/>
          <w:b/>
          <w:i/>
          <w:lang w:val="es-CO" w:eastAsia="es-CO"/>
        </w:rPr>
      </w:pPr>
      <w:r w:rsidRPr="005A4B27">
        <w:rPr>
          <w:rFonts w:ascii="Arial" w:hAnsi="Arial" w:cs="Arial"/>
          <w:b/>
          <w:i/>
          <w:lang w:val="es-CO" w:eastAsia="es-CO"/>
        </w:rPr>
        <w:br w:type="page"/>
      </w:r>
    </w:p>
    <w:p w:rsidR="00B058BF" w:rsidRPr="005A4B27" w:rsidRDefault="00B058BF" w:rsidP="00A177BA">
      <w:pPr>
        <w:jc w:val="both"/>
        <w:rPr>
          <w:rFonts w:ascii="Arial" w:hAnsi="Arial" w:cs="Arial"/>
          <w:b/>
          <w:i/>
          <w:lang w:val="es-CO" w:eastAsia="es-CO"/>
        </w:rPr>
      </w:pPr>
      <w:r w:rsidRPr="005A4B27">
        <w:rPr>
          <w:rFonts w:ascii="Arial" w:hAnsi="Arial" w:cs="Arial"/>
          <w:b/>
          <w:i/>
          <w:noProof/>
          <w:lang w:val="en-US" w:eastAsia="en-US"/>
        </w:rPr>
        <w:drawing>
          <wp:inline distT="0" distB="0" distL="0" distR="0" wp14:anchorId="7258BD6D" wp14:editId="5167E52C">
            <wp:extent cx="5190766" cy="421998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3669" cy="4222345"/>
                    </a:xfrm>
                    <a:prstGeom prst="rect">
                      <a:avLst/>
                    </a:prstGeom>
                    <a:noFill/>
                    <a:ln>
                      <a:noFill/>
                    </a:ln>
                  </pic:spPr>
                </pic:pic>
              </a:graphicData>
            </a:graphic>
          </wp:inline>
        </w:drawing>
      </w:r>
    </w:p>
    <w:p w:rsidR="00B058BF" w:rsidRPr="005A4B27" w:rsidRDefault="00B058BF" w:rsidP="00B058BF">
      <w:pPr>
        <w:jc w:val="both"/>
        <w:rPr>
          <w:rFonts w:ascii="Arial" w:hAnsi="Arial" w:cs="Arial"/>
          <w:b/>
          <w:i/>
          <w:lang w:val="es-CO" w:eastAsia="es-CO"/>
        </w:rPr>
      </w:pPr>
      <w:r w:rsidRPr="005A4B27">
        <w:rPr>
          <w:rFonts w:ascii="Arial" w:hAnsi="Arial" w:cs="Arial"/>
          <w:b/>
          <w:i/>
          <w:lang w:val="es-CO" w:eastAsia="es-CO"/>
        </w:rPr>
        <w:t>Reloj #2 – Dos semanas después de iniciado el aceite de coco.</w:t>
      </w:r>
    </w:p>
    <w:p w:rsidR="002D1DF1" w:rsidRPr="005A4B27" w:rsidRDefault="002D1DF1" w:rsidP="009B5721">
      <w:pPr>
        <w:pBdr>
          <w:bottom w:val="single" w:sz="4" w:space="1" w:color="auto"/>
        </w:pBdr>
        <w:jc w:val="both"/>
        <w:rPr>
          <w:rFonts w:ascii="Arial" w:hAnsi="Arial" w:cs="Arial"/>
          <w:b/>
          <w:i/>
          <w:lang w:val="es-CO" w:eastAsia="es-CO"/>
        </w:rPr>
      </w:pPr>
    </w:p>
    <w:p w:rsidR="00B058BF" w:rsidRPr="005A4B27" w:rsidRDefault="00B058BF" w:rsidP="00A177BA">
      <w:pPr>
        <w:jc w:val="both"/>
        <w:rPr>
          <w:lang w:val="en-US"/>
        </w:rPr>
      </w:pPr>
      <w:r w:rsidRPr="005A4B27">
        <w:rPr>
          <w:noProof/>
          <w:lang w:val="en-US" w:eastAsia="en-US"/>
        </w:rPr>
        <w:drawing>
          <wp:inline distT="0" distB="0" distL="0" distR="0" wp14:anchorId="0EBD13AE" wp14:editId="06A8A96B">
            <wp:extent cx="4351994" cy="3938068"/>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4428" cy="3940270"/>
                    </a:xfrm>
                    <a:prstGeom prst="rect">
                      <a:avLst/>
                    </a:prstGeom>
                    <a:noFill/>
                    <a:ln>
                      <a:noFill/>
                    </a:ln>
                  </pic:spPr>
                </pic:pic>
              </a:graphicData>
            </a:graphic>
          </wp:inline>
        </w:drawing>
      </w:r>
    </w:p>
    <w:p w:rsidR="00B058BF" w:rsidRPr="005A4B27" w:rsidRDefault="00B058BF" w:rsidP="009B5721">
      <w:pPr>
        <w:pBdr>
          <w:bottom w:val="single" w:sz="4" w:space="1" w:color="auto"/>
        </w:pBdr>
        <w:jc w:val="both"/>
        <w:rPr>
          <w:rFonts w:ascii="Arial" w:hAnsi="Arial" w:cs="Arial"/>
          <w:lang w:val="es-CO" w:eastAsia="es-CO"/>
        </w:rPr>
      </w:pPr>
      <w:r w:rsidRPr="005A4B27">
        <w:rPr>
          <w:rFonts w:ascii="Arial" w:hAnsi="Arial" w:cs="Arial"/>
          <w:b/>
          <w:i/>
          <w:lang w:val="es-CO" w:eastAsia="es-CO"/>
        </w:rPr>
        <w:t>Reloj #3 – Treinta y siete días después de inicia</w:t>
      </w:r>
      <w:r w:rsidR="009B5721" w:rsidRPr="005A4B27">
        <w:rPr>
          <w:rFonts w:ascii="Arial" w:hAnsi="Arial" w:cs="Arial"/>
          <w:b/>
          <w:i/>
          <w:lang w:val="es-CO" w:eastAsia="es-CO"/>
        </w:rPr>
        <w:t>do</w:t>
      </w:r>
      <w:r w:rsidRPr="005A4B27">
        <w:rPr>
          <w:rFonts w:ascii="Arial" w:hAnsi="Arial" w:cs="Arial"/>
          <w:b/>
          <w:i/>
          <w:lang w:val="es-CO" w:eastAsia="es-CO"/>
        </w:rPr>
        <w:t xml:space="preserve"> el aceite de coco.</w:t>
      </w:r>
    </w:p>
    <w:sectPr w:rsidR="00B058BF" w:rsidRPr="005A4B27" w:rsidSect="009B5721">
      <w:footerReference w:type="default" r:id="rId11"/>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5A" w:rsidRDefault="00492C5A" w:rsidP="00D16E32">
      <w:r>
        <w:separator/>
      </w:r>
    </w:p>
  </w:endnote>
  <w:endnote w:type="continuationSeparator" w:id="0">
    <w:p w:rsidR="00492C5A" w:rsidRDefault="00492C5A" w:rsidP="00D1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OldStyle-Regular">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25874"/>
      <w:docPartObj>
        <w:docPartGallery w:val="Page Numbers (Bottom of Page)"/>
        <w:docPartUnique/>
      </w:docPartObj>
    </w:sdtPr>
    <w:sdtEndPr/>
    <w:sdtContent>
      <w:p w:rsidR="00807850" w:rsidRDefault="00807850">
        <w:pPr>
          <w:pStyle w:val="Footer"/>
          <w:jc w:val="right"/>
        </w:pPr>
        <w:r>
          <w:fldChar w:fldCharType="begin"/>
        </w:r>
        <w:r>
          <w:instrText>PAGE   \* MERGEFORMAT</w:instrText>
        </w:r>
        <w:r>
          <w:fldChar w:fldCharType="separate"/>
        </w:r>
        <w:r w:rsidR="00070B3A">
          <w:rPr>
            <w:noProof/>
          </w:rPr>
          <w:t>1</w:t>
        </w:r>
        <w:r>
          <w:fldChar w:fldCharType="end"/>
        </w:r>
      </w:p>
    </w:sdtContent>
  </w:sdt>
  <w:p w:rsidR="00807850" w:rsidRDefault="00807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5A" w:rsidRDefault="00492C5A" w:rsidP="00D16E32">
      <w:r>
        <w:separator/>
      </w:r>
    </w:p>
  </w:footnote>
  <w:footnote w:type="continuationSeparator" w:id="0">
    <w:p w:rsidR="00492C5A" w:rsidRDefault="00492C5A" w:rsidP="00D1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53"/>
    <w:rsid w:val="000124F0"/>
    <w:rsid w:val="000446AB"/>
    <w:rsid w:val="00054677"/>
    <w:rsid w:val="00063E80"/>
    <w:rsid w:val="00070B3A"/>
    <w:rsid w:val="00077DC4"/>
    <w:rsid w:val="000B0740"/>
    <w:rsid w:val="000E5431"/>
    <w:rsid w:val="000E55CE"/>
    <w:rsid w:val="000E6694"/>
    <w:rsid w:val="000F709C"/>
    <w:rsid w:val="00102544"/>
    <w:rsid w:val="0017093E"/>
    <w:rsid w:val="00177C93"/>
    <w:rsid w:val="00185D55"/>
    <w:rsid w:val="001F090F"/>
    <w:rsid w:val="00214BFF"/>
    <w:rsid w:val="00242A5A"/>
    <w:rsid w:val="00266757"/>
    <w:rsid w:val="00267EF6"/>
    <w:rsid w:val="00281352"/>
    <w:rsid w:val="002C5924"/>
    <w:rsid w:val="002D0DA4"/>
    <w:rsid w:val="002D1DF1"/>
    <w:rsid w:val="002F736F"/>
    <w:rsid w:val="00347D57"/>
    <w:rsid w:val="0037376B"/>
    <w:rsid w:val="0038125A"/>
    <w:rsid w:val="00394017"/>
    <w:rsid w:val="003953F5"/>
    <w:rsid w:val="00396753"/>
    <w:rsid w:val="003B7B2A"/>
    <w:rsid w:val="003D17FC"/>
    <w:rsid w:val="004030CF"/>
    <w:rsid w:val="0041216E"/>
    <w:rsid w:val="00415E32"/>
    <w:rsid w:val="00427248"/>
    <w:rsid w:val="00446AFE"/>
    <w:rsid w:val="0046246C"/>
    <w:rsid w:val="00466E2B"/>
    <w:rsid w:val="00490B48"/>
    <w:rsid w:val="00492C5A"/>
    <w:rsid w:val="004C4759"/>
    <w:rsid w:val="004D02D1"/>
    <w:rsid w:val="004E16BD"/>
    <w:rsid w:val="004E4816"/>
    <w:rsid w:val="005028BD"/>
    <w:rsid w:val="00503C87"/>
    <w:rsid w:val="00510C8E"/>
    <w:rsid w:val="005179F5"/>
    <w:rsid w:val="00524C6B"/>
    <w:rsid w:val="00536CC3"/>
    <w:rsid w:val="00537986"/>
    <w:rsid w:val="00540B5E"/>
    <w:rsid w:val="00541389"/>
    <w:rsid w:val="005A4B27"/>
    <w:rsid w:val="005E1069"/>
    <w:rsid w:val="005F119C"/>
    <w:rsid w:val="005F519C"/>
    <w:rsid w:val="005F78AD"/>
    <w:rsid w:val="00611F9C"/>
    <w:rsid w:val="00633F43"/>
    <w:rsid w:val="00637B82"/>
    <w:rsid w:val="00663B5E"/>
    <w:rsid w:val="00687277"/>
    <w:rsid w:val="006A1260"/>
    <w:rsid w:val="006A5CBF"/>
    <w:rsid w:val="006C61BE"/>
    <w:rsid w:val="006F3B8F"/>
    <w:rsid w:val="006F5F16"/>
    <w:rsid w:val="00700407"/>
    <w:rsid w:val="00703095"/>
    <w:rsid w:val="007306C3"/>
    <w:rsid w:val="0073733F"/>
    <w:rsid w:val="0074114C"/>
    <w:rsid w:val="00741C3D"/>
    <w:rsid w:val="0076105D"/>
    <w:rsid w:val="007765C5"/>
    <w:rsid w:val="00780B51"/>
    <w:rsid w:val="00797481"/>
    <w:rsid w:val="007F575B"/>
    <w:rsid w:val="00801846"/>
    <w:rsid w:val="00807850"/>
    <w:rsid w:val="00825E23"/>
    <w:rsid w:val="00845BA6"/>
    <w:rsid w:val="008477D5"/>
    <w:rsid w:val="00890391"/>
    <w:rsid w:val="00890DD5"/>
    <w:rsid w:val="008A098E"/>
    <w:rsid w:val="008A2C88"/>
    <w:rsid w:val="008B6EF7"/>
    <w:rsid w:val="008D19F8"/>
    <w:rsid w:val="008F4806"/>
    <w:rsid w:val="0090491E"/>
    <w:rsid w:val="00913E4B"/>
    <w:rsid w:val="00925E4A"/>
    <w:rsid w:val="00926CB1"/>
    <w:rsid w:val="0094379F"/>
    <w:rsid w:val="00955822"/>
    <w:rsid w:val="00985A62"/>
    <w:rsid w:val="00990D91"/>
    <w:rsid w:val="00993678"/>
    <w:rsid w:val="009A1507"/>
    <w:rsid w:val="009A4E21"/>
    <w:rsid w:val="009B16C0"/>
    <w:rsid w:val="009B5721"/>
    <w:rsid w:val="009D667C"/>
    <w:rsid w:val="009F24FC"/>
    <w:rsid w:val="009F5C9C"/>
    <w:rsid w:val="00A03C92"/>
    <w:rsid w:val="00A043E3"/>
    <w:rsid w:val="00A10A70"/>
    <w:rsid w:val="00A177BA"/>
    <w:rsid w:val="00A22EEF"/>
    <w:rsid w:val="00A2396A"/>
    <w:rsid w:val="00A317AA"/>
    <w:rsid w:val="00A37B9E"/>
    <w:rsid w:val="00A37F1A"/>
    <w:rsid w:val="00A4115C"/>
    <w:rsid w:val="00A52D6F"/>
    <w:rsid w:val="00A92F48"/>
    <w:rsid w:val="00AA40C7"/>
    <w:rsid w:val="00AE39BF"/>
    <w:rsid w:val="00AE409A"/>
    <w:rsid w:val="00AE7C7C"/>
    <w:rsid w:val="00AF0F45"/>
    <w:rsid w:val="00AF4B74"/>
    <w:rsid w:val="00B04C14"/>
    <w:rsid w:val="00B058BF"/>
    <w:rsid w:val="00B21D28"/>
    <w:rsid w:val="00B3237D"/>
    <w:rsid w:val="00B37ECE"/>
    <w:rsid w:val="00B52AC1"/>
    <w:rsid w:val="00B52CDC"/>
    <w:rsid w:val="00B623C1"/>
    <w:rsid w:val="00B80E7B"/>
    <w:rsid w:val="00B864A6"/>
    <w:rsid w:val="00B97E7B"/>
    <w:rsid w:val="00BB3DC2"/>
    <w:rsid w:val="00BB7F04"/>
    <w:rsid w:val="00BC1EFF"/>
    <w:rsid w:val="00BE1FF8"/>
    <w:rsid w:val="00BE502B"/>
    <w:rsid w:val="00BF10EA"/>
    <w:rsid w:val="00C0230B"/>
    <w:rsid w:val="00C0235D"/>
    <w:rsid w:val="00C076CD"/>
    <w:rsid w:val="00C344C9"/>
    <w:rsid w:val="00C63D1A"/>
    <w:rsid w:val="00C6558B"/>
    <w:rsid w:val="00C85F21"/>
    <w:rsid w:val="00C8694E"/>
    <w:rsid w:val="00C97E19"/>
    <w:rsid w:val="00CA0AE8"/>
    <w:rsid w:val="00CA49AC"/>
    <w:rsid w:val="00CA638C"/>
    <w:rsid w:val="00CA710D"/>
    <w:rsid w:val="00CB0174"/>
    <w:rsid w:val="00CB7394"/>
    <w:rsid w:val="00CE0815"/>
    <w:rsid w:val="00D01D41"/>
    <w:rsid w:val="00D143CA"/>
    <w:rsid w:val="00D1511B"/>
    <w:rsid w:val="00D154F7"/>
    <w:rsid w:val="00D16E32"/>
    <w:rsid w:val="00D225AE"/>
    <w:rsid w:val="00D44540"/>
    <w:rsid w:val="00D44EC8"/>
    <w:rsid w:val="00D45147"/>
    <w:rsid w:val="00D732A5"/>
    <w:rsid w:val="00D9543A"/>
    <w:rsid w:val="00DB40A9"/>
    <w:rsid w:val="00DC04F2"/>
    <w:rsid w:val="00DD04D1"/>
    <w:rsid w:val="00DD0597"/>
    <w:rsid w:val="00DE53D8"/>
    <w:rsid w:val="00E25E12"/>
    <w:rsid w:val="00E5094D"/>
    <w:rsid w:val="00E547D2"/>
    <w:rsid w:val="00E557D4"/>
    <w:rsid w:val="00E74557"/>
    <w:rsid w:val="00E74DDA"/>
    <w:rsid w:val="00E92145"/>
    <w:rsid w:val="00EA6299"/>
    <w:rsid w:val="00EB343F"/>
    <w:rsid w:val="00ED078D"/>
    <w:rsid w:val="00EE01FF"/>
    <w:rsid w:val="00F259B0"/>
    <w:rsid w:val="00F760EA"/>
    <w:rsid w:val="00F77976"/>
    <w:rsid w:val="00F90B77"/>
    <w:rsid w:val="00FA573E"/>
    <w:rsid w:val="00FA7582"/>
    <w:rsid w:val="00FD2303"/>
    <w:rsid w:val="00FD7A5E"/>
    <w:rsid w:val="00FE1675"/>
    <w:rsid w:val="00FF2B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6E32"/>
    <w:pPr>
      <w:tabs>
        <w:tab w:val="center" w:pos="4419"/>
        <w:tab w:val="right" w:pos="8838"/>
      </w:tabs>
    </w:pPr>
  </w:style>
  <w:style w:type="character" w:customStyle="1" w:styleId="HeaderChar">
    <w:name w:val="Header Char"/>
    <w:basedOn w:val="DefaultParagraphFont"/>
    <w:link w:val="Header"/>
    <w:rsid w:val="00D16E32"/>
    <w:rPr>
      <w:sz w:val="24"/>
      <w:szCs w:val="24"/>
      <w:lang w:val="es-ES" w:eastAsia="es-ES"/>
    </w:rPr>
  </w:style>
  <w:style w:type="paragraph" w:styleId="Footer">
    <w:name w:val="footer"/>
    <w:basedOn w:val="Normal"/>
    <w:link w:val="FooterChar"/>
    <w:uiPriority w:val="99"/>
    <w:rsid w:val="00D16E32"/>
    <w:pPr>
      <w:tabs>
        <w:tab w:val="center" w:pos="4419"/>
        <w:tab w:val="right" w:pos="8838"/>
      </w:tabs>
    </w:pPr>
  </w:style>
  <w:style w:type="character" w:customStyle="1" w:styleId="FooterChar">
    <w:name w:val="Footer Char"/>
    <w:basedOn w:val="DefaultParagraphFont"/>
    <w:link w:val="Footer"/>
    <w:uiPriority w:val="99"/>
    <w:rsid w:val="00D16E32"/>
    <w:rPr>
      <w:sz w:val="24"/>
      <w:szCs w:val="24"/>
      <w:lang w:val="es-ES" w:eastAsia="es-ES"/>
    </w:rPr>
  </w:style>
  <w:style w:type="character" w:styleId="Hyperlink">
    <w:name w:val="Hyperlink"/>
    <w:basedOn w:val="DefaultParagraphFont"/>
    <w:rsid w:val="00BB3DC2"/>
    <w:rPr>
      <w:color w:val="0000FF" w:themeColor="hyperlink"/>
      <w:u w:val="single"/>
    </w:rPr>
  </w:style>
  <w:style w:type="paragraph" w:styleId="BalloonText">
    <w:name w:val="Balloon Text"/>
    <w:basedOn w:val="Normal"/>
    <w:link w:val="BalloonTextChar"/>
    <w:rsid w:val="00B058BF"/>
    <w:rPr>
      <w:rFonts w:ascii="Tahoma" w:hAnsi="Tahoma" w:cs="Tahoma"/>
      <w:sz w:val="16"/>
      <w:szCs w:val="16"/>
    </w:rPr>
  </w:style>
  <w:style w:type="character" w:customStyle="1" w:styleId="BalloonTextChar">
    <w:name w:val="Balloon Text Char"/>
    <w:basedOn w:val="DefaultParagraphFont"/>
    <w:link w:val="BalloonText"/>
    <w:rsid w:val="00B058BF"/>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6E32"/>
    <w:pPr>
      <w:tabs>
        <w:tab w:val="center" w:pos="4419"/>
        <w:tab w:val="right" w:pos="8838"/>
      </w:tabs>
    </w:pPr>
  </w:style>
  <w:style w:type="character" w:customStyle="1" w:styleId="HeaderChar">
    <w:name w:val="Header Char"/>
    <w:basedOn w:val="DefaultParagraphFont"/>
    <w:link w:val="Header"/>
    <w:rsid w:val="00D16E32"/>
    <w:rPr>
      <w:sz w:val="24"/>
      <w:szCs w:val="24"/>
      <w:lang w:val="es-ES" w:eastAsia="es-ES"/>
    </w:rPr>
  </w:style>
  <w:style w:type="paragraph" w:styleId="Footer">
    <w:name w:val="footer"/>
    <w:basedOn w:val="Normal"/>
    <w:link w:val="FooterChar"/>
    <w:uiPriority w:val="99"/>
    <w:rsid w:val="00D16E32"/>
    <w:pPr>
      <w:tabs>
        <w:tab w:val="center" w:pos="4419"/>
        <w:tab w:val="right" w:pos="8838"/>
      </w:tabs>
    </w:pPr>
  </w:style>
  <w:style w:type="character" w:customStyle="1" w:styleId="FooterChar">
    <w:name w:val="Footer Char"/>
    <w:basedOn w:val="DefaultParagraphFont"/>
    <w:link w:val="Footer"/>
    <w:uiPriority w:val="99"/>
    <w:rsid w:val="00D16E32"/>
    <w:rPr>
      <w:sz w:val="24"/>
      <w:szCs w:val="24"/>
      <w:lang w:val="es-ES" w:eastAsia="es-ES"/>
    </w:rPr>
  </w:style>
  <w:style w:type="character" w:styleId="Hyperlink">
    <w:name w:val="Hyperlink"/>
    <w:basedOn w:val="DefaultParagraphFont"/>
    <w:rsid w:val="00BB3DC2"/>
    <w:rPr>
      <w:color w:val="0000FF" w:themeColor="hyperlink"/>
      <w:u w:val="single"/>
    </w:rPr>
  </w:style>
  <w:style w:type="paragraph" w:styleId="BalloonText">
    <w:name w:val="Balloon Text"/>
    <w:basedOn w:val="Normal"/>
    <w:link w:val="BalloonTextChar"/>
    <w:rsid w:val="00B058BF"/>
    <w:rPr>
      <w:rFonts w:ascii="Tahoma" w:hAnsi="Tahoma" w:cs="Tahoma"/>
      <w:sz w:val="16"/>
      <w:szCs w:val="16"/>
    </w:rPr>
  </w:style>
  <w:style w:type="character" w:customStyle="1" w:styleId="BalloonTextChar">
    <w:name w:val="Balloon Text Char"/>
    <w:basedOn w:val="DefaultParagraphFont"/>
    <w:link w:val="BalloonText"/>
    <w:rsid w:val="00B058B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5236</Words>
  <Characters>29850</Characters>
  <Application>Microsoft Office Word</Application>
  <DocSecurity>0</DocSecurity>
  <Lines>248</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owner</cp:lastModifiedBy>
  <cp:revision>2</cp:revision>
  <cp:lastPrinted>2012-02-23T16:33:00Z</cp:lastPrinted>
  <dcterms:created xsi:type="dcterms:W3CDTF">2012-03-12T17:54:00Z</dcterms:created>
  <dcterms:modified xsi:type="dcterms:W3CDTF">2012-03-12T17:54:00Z</dcterms:modified>
</cp:coreProperties>
</file>